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72"/>
        </w:rPr>
      </w:pPr>
    </w:p>
    <w:p>
      <w:pPr>
        <w:jc w:val="center"/>
        <w:rPr>
          <w:rFonts w:ascii="宋体" w:hAnsi="宋体"/>
          <w:sz w:val="72"/>
        </w:rPr>
      </w:pPr>
      <w:r>
        <w:rPr>
          <w:rFonts w:hint="eastAsia" w:ascii="宋体" w:hAnsi="宋体"/>
          <w:sz w:val="72"/>
        </w:rPr>
        <w:t>XXX桥</w:t>
      </w:r>
    </w:p>
    <w:p>
      <w:pPr>
        <w:jc w:val="center"/>
        <w:rPr>
          <w:rFonts w:ascii="宋体" w:hAnsi="宋体"/>
          <w:sz w:val="72"/>
        </w:rPr>
      </w:pPr>
      <w:r>
        <w:rPr>
          <w:rFonts w:ascii="宋体" w:hAnsi="宋体"/>
          <w:sz w:val="72"/>
        </w:rPr>
        <w:t>现浇箱梁</w:t>
      </w:r>
    </w:p>
    <w:p>
      <w:pPr>
        <w:jc w:val="center"/>
        <w:rPr>
          <w:rFonts w:hint="eastAsia" w:ascii="宋体" w:hAnsi="宋体" w:eastAsiaTheme="minorEastAsia"/>
          <w:sz w:val="72"/>
          <w:lang w:eastAsia="zh-CN"/>
        </w:rPr>
      </w:pPr>
      <w:r>
        <w:rPr>
          <w:rFonts w:ascii="宋体" w:hAnsi="宋体"/>
          <w:sz w:val="72"/>
        </w:rPr>
        <w:t>计算</w:t>
      </w:r>
      <w:r>
        <w:rPr>
          <w:rFonts w:hint="eastAsia" w:ascii="宋体" w:hAnsi="宋体"/>
          <w:sz w:val="72"/>
          <w:lang w:val="en-US" w:eastAsia="zh-CN"/>
        </w:rPr>
        <w:t>报告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计算：</w:t>
            </w:r>
          </w:p>
        </w:tc>
        <w:tc>
          <w:tcPr>
            <w:tcW w:w="2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复核：</w:t>
            </w:r>
          </w:p>
        </w:tc>
        <w:tc>
          <w:tcPr>
            <w:tcW w:w="22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审核：</w:t>
            </w:r>
          </w:p>
        </w:tc>
        <w:tc>
          <w:tcPr>
            <w:tcW w:w="2236" w:type="dxa"/>
            <w:tcBorders>
              <w:top w:val="single" w:color="auto" w:sz="4" w:space="0"/>
              <w:left w:val="nil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宋体" w:hAnsi="宋体"/>
          <w:sz w:val="32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XXXXXX设计院</w:t>
      </w:r>
    </w:p>
    <w:p>
      <w:pPr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2020年10月</w:t>
      </w:r>
    </w:p>
    <w:p>
      <w:pPr>
        <w:widowControl/>
        <w:jc w:val="left"/>
        <w:rPr>
          <w:rFonts w:ascii="宋体" w:hAnsi="宋体"/>
          <w:sz w:val="32"/>
        </w:rPr>
      </w:pPr>
      <w:r>
        <w:rPr>
          <w:rFonts w:ascii="宋体" w:hAnsi="宋体"/>
          <w:sz w:val="32"/>
        </w:rPr>
        <w:br w:type="page"/>
      </w:r>
    </w:p>
    <w:sdt>
      <w:sdtPr>
        <w:rPr>
          <w:rFonts w:hint="eastAsia" w:ascii="宋体" w:hAnsi="宋体" w:eastAsia="宋体" w:cs="宋体"/>
          <w:color w:val="auto"/>
          <w:kern w:val="2"/>
          <w:sz w:val="21"/>
          <w:szCs w:val="22"/>
          <w:lang w:val="zh-CN"/>
        </w:rPr>
        <w:id w:val="252020979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1"/>
          <w:szCs w:val="21"/>
          <w:lang w:val="zh-CN"/>
        </w:rPr>
      </w:sdtEndPr>
      <w:sdtContent>
        <w:p>
          <w:pPr>
            <w:pStyle w:val="435"/>
            <w:jc w:val="center"/>
            <w:rPr>
              <w:rFonts w:hint="eastAsia" w:ascii="宋体" w:hAnsi="宋体" w:eastAsia="宋体" w:cs="宋体"/>
              <w:color w:val="auto"/>
              <w:lang w:val="zh-CN"/>
            </w:rPr>
          </w:pPr>
          <w:r>
            <w:rPr>
              <w:rFonts w:hint="eastAsia" w:ascii="宋体" w:hAnsi="宋体" w:eastAsia="宋体" w:cs="宋体"/>
              <w:color w:val="auto"/>
              <w:lang w:val="zh-CN"/>
            </w:rPr>
            <w:t>目</w:t>
          </w:r>
          <w:r>
            <w:rPr>
              <w:rFonts w:hint="eastAsia" w:ascii="宋体" w:hAnsi="宋体" w:eastAsia="宋体" w:cs="宋体"/>
              <w:color w:val="auto"/>
              <w:lang w:val="en-US" w:eastAsia="zh-CN"/>
            </w:rPr>
            <w:t xml:space="preserve"> </w:t>
          </w:r>
          <w:r>
            <w:rPr>
              <w:rFonts w:hint="eastAsia" w:ascii="宋体" w:hAnsi="宋体" w:eastAsia="宋体" w:cs="宋体"/>
              <w:color w:val="auto"/>
              <w:lang w:val="zh-CN"/>
            </w:rPr>
            <w:t>录</w:t>
          </w:r>
        </w:p>
        <w:p>
          <w:pPr>
            <w:rPr>
              <w:rFonts w:hint="eastAsia" w:ascii="宋体" w:hAnsi="宋体" w:eastAsia="宋体" w:cs="宋体"/>
            </w:rPr>
          </w:pP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instrText xml:space="preserve"> TOC \o "1-3" \h \z \u </w:instrText>
          </w: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"_Toc54688551"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 概述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_Toc54688551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"_Toc54688552"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1.1 项目基本信息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_Toc54688552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"_Toc54688553"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1.2 相关计算参数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_Toc54688553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"_Toc54688554"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1.3 规范标准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_Toc54688554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"_Toc54688555"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1.4 主要材料及设计参数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_Toc54688555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"_Toc54688556"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1.5 模型信息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_Toc54688556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4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"_Toc54688557"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1.6 施工阶段划分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_Toc54688557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"_Toc54688558"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 主梁计算结果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_Toc54688558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"_Toc54688559"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2.1 持久状况承载能力极限状态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_Toc54688559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"_Toc54688560"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2.1.1 正截面承载力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_Toc54688560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5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"_Toc54688561"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2.1.2 斜截面承载力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_Toc54688561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7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"_Toc54688562"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 持久状况正常使用极限状态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_Toc54688562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8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"_Toc54688563"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2.2.1 频遇组合下正截面抗裂验算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_Toc54688563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8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"_Toc54688564"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2.2.2 准永久组合下正截面抗裂验算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_Toc54688564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9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"_Toc54688565"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2.2.3 斜截面抗裂验算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_Toc54688565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9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"_Toc54688566"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2.2.4 挠度验算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_Toc54688566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10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"_Toc54688567"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 持久状况构件应力计算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_Toc54688567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11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"_Toc54688568"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2.3.1 混凝土法向应力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_Toc54688568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11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"_Toc54688569"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2.3.2 混凝土主应力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_Toc54688569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11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"_Toc54688570"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2.3.3 预应力钢筋应力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_Toc54688570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12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"_Toc54688571"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2.4 抗倾覆计算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_Toc54688571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12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"_Toc54688572"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2.4.1 支座脱空验算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_Toc54688572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12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"_Toc54688573"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2.4.2 主梁抗倾覆验算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_Toc54688573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rFonts w:hint="eastAsia" w:ascii="宋体" w:hAnsi="宋体" w:eastAsia="宋体" w:cs="宋体"/>
              <w:sz w:val="21"/>
              <w:szCs w:val="21"/>
            </w:rPr>
          </w:pP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HYPERLINK \l "_Toc54688574"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3 结论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ab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begin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instrText xml:space="preserve"> PAGEREF _Toc54688574 \h </w:instrTex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separate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t>13</w:t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  <w:r>
            <w:rPr>
              <w:rFonts w:hint="eastAsia" w:ascii="宋体" w:hAnsi="宋体" w:eastAsia="宋体" w:cs="宋体"/>
              <w:b w:val="0"/>
              <w:bCs w:val="0"/>
              <w:sz w:val="21"/>
              <w:szCs w:val="21"/>
            </w:rPr>
            <w:fldChar w:fldCharType="end"/>
          </w:r>
        </w:p>
        <w:p>
          <w:pPr>
            <w:spacing w:line="360" w:lineRule="auto"/>
            <w:rPr>
              <w:sz w:val="21"/>
              <w:szCs w:val="21"/>
            </w:rPr>
          </w:pPr>
          <w:r>
            <w:rPr>
              <w:rFonts w:hint="eastAsia" w:ascii="宋体" w:hAnsi="宋体" w:eastAsia="宋体" w:cs="宋体"/>
              <w:b/>
              <w:bCs/>
              <w:sz w:val="21"/>
              <w:szCs w:val="21"/>
              <w:lang w:val="zh-CN"/>
            </w:rPr>
            <w:fldChar w:fldCharType="end"/>
          </w:r>
        </w:p>
      </w:sdtContent>
    </w:sdt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br w:type="page"/>
      </w:r>
    </w:p>
    <w:p>
      <w:pPr>
        <w:bidi w:val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构件名称:=梁1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Comb_01:=01 基本组合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Comb_03:=03 频遇组合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Comb_03b:=03b 频遇组合-现浇全预应力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Comb_03c:=03c 频遇组合-挠度验算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Comb_04a:=04a 准永久组合-直接作用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Comb_050:=05 标准值组合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Comb_05b:=05b 标准值组合-同号求和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SecName:=主截面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Stress_TOP:=TOP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Stress_BOT:=BOT</w:t>
      </w:r>
    </w:p>
    <w:p>
      <w:pPr>
        <w:bidi w:val="0"/>
        <w:rPr>
          <w:sz w:val="21"/>
          <w:szCs w:val="21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26" w:charSpace="0"/>
        </w:sectPr>
      </w:pPr>
      <w:r>
        <w:rPr>
          <w:rFonts w:hint="eastAsia"/>
          <w:sz w:val="21"/>
          <w:szCs w:val="21"/>
        </w:rPr>
        <w:t>E_OUT:=ALL</w:t>
      </w:r>
    </w:p>
    <w:p>
      <w:pPr>
        <w:pStyle w:val="2"/>
        <w:numPr>
          <w:ilvl w:val="0"/>
          <w:numId w:val="1"/>
        </w:numPr>
        <w:bidi w:val="0"/>
      </w:pPr>
      <w:bookmarkStart w:id="0" w:name="_Toc437874181"/>
      <w:bookmarkStart w:id="1" w:name="_Toc54688551"/>
      <w:r>
        <w:t>概述</w:t>
      </w:r>
      <w:bookmarkEnd w:id="0"/>
      <w:bookmarkEnd w:id="1"/>
    </w:p>
    <w:p>
      <w:pPr>
        <w:pStyle w:val="3"/>
        <w:numPr>
          <w:ilvl w:val="1"/>
          <w:numId w:val="1"/>
        </w:numPr>
        <w:bidi w:val="0"/>
      </w:pPr>
      <w:bookmarkStart w:id="2" w:name="_Toc437874182"/>
      <w:bookmarkStart w:id="3" w:name="_Toc54688552"/>
      <w:r>
        <w:t>项目基本信息</w:t>
      </w:r>
      <w:bookmarkEnd w:id="2"/>
      <w:bookmarkEnd w:id="3"/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</w:rPr>
      </w:pPr>
      <w:bookmarkStart w:id="4" w:name="_Toc437874183"/>
      <w:r>
        <w:rPr>
          <w:rFonts w:hint="eastAsia" w:ascii="宋体" w:hAnsi="宋体"/>
          <w:sz w:val="21"/>
          <w:szCs w:val="21"/>
        </w:rPr>
        <w:t>XX桥梁跨径组成为</w:t>
      </w:r>
      <w:r>
        <w:rPr>
          <w:rFonts w:ascii="宋体" w:hAnsi="宋体"/>
          <w:sz w:val="21"/>
          <w:szCs w:val="21"/>
        </w:rPr>
        <w:t>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30+5x25m，上部结构第一联</w:t>
      </w:r>
      <w:r>
        <w:rPr>
          <w:rFonts w:hint="eastAsia" w:ascii="宋体" w:hAnsi="宋体"/>
          <w:sz w:val="21"/>
          <w:szCs w:val="21"/>
        </w:rPr>
        <w:t>3x</w:t>
      </w:r>
      <w:r>
        <w:rPr>
          <w:rFonts w:ascii="宋体" w:hAnsi="宋体"/>
          <w:sz w:val="21"/>
          <w:szCs w:val="21"/>
        </w:rPr>
        <w:t>30m采用预应力混凝土现浇箱梁，第二联</w:t>
      </w:r>
      <w:r>
        <w:rPr>
          <w:rFonts w:hint="eastAsia" w:ascii="宋体" w:hAnsi="宋体"/>
          <w:sz w:val="21"/>
          <w:szCs w:val="21"/>
        </w:rPr>
        <w:t>5x</w:t>
      </w:r>
      <w:r>
        <w:rPr>
          <w:rFonts w:ascii="宋体" w:hAnsi="宋体"/>
          <w:sz w:val="21"/>
          <w:szCs w:val="21"/>
        </w:rPr>
        <w:t>25m，采用普通钢筋混凝土现浇箱梁。其中3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</w:t>
      </w:r>
      <w:r>
        <w:rPr>
          <w:rFonts w:hint="eastAsia" w:ascii="宋体" w:hAnsi="宋体"/>
          <w:sz w:val="21"/>
          <w:szCs w:val="21"/>
        </w:rPr>
        <w:t>m跨径梁高</w:t>
      </w:r>
      <w:r>
        <w:rPr>
          <w:rFonts w:ascii="宋体" w:hAnsi="宋体"/>
          <w:sz w:val="21"/>
          <w:szCs w:val="21"/>
        </w:rPr>
        <w:t>1.6m，5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20m跨径上部梁高采用1.3m，下部结构桥墩采用柱式墩，桩基础。本计算书为3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30m现浇箱梁计算书。</w:t>
      </w:r>
    </w:p>
    <w:p>
      <w:pPr>
        <w:pStyle w:val="2"/>
        <w:numPr>
          <w:ilvl w:val="1"/>
          <w:numId w:val="1"/>
        </w:numPr>
        <w:bidi w:val="0"/>
      </w:pPr>
      <w:bookmarkStart w:id="5" w:name="_Toc54688553"/>
      <w:r>
        <w:t>相关计算参数</w:t>
      </w:r>
      <w:bookmarkEnd w:id="5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（1）桥梁设计荷载等级：</w:t>
      </w:r>
      <w:r>
        <w:rPr>
          <w:rFonts w:ascii="宋体" w:hAnsi="宋体"/>
          <w:sz w:val="21"/>
          <w:szCs w:val="21"/>
        </w:rPr>
        <w:t>公路-Ⅰ级；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（2）结构安全等级：一级，结构重要性系数为</w:t>
      </w:r>
      <w:r>
        <w:rPr>
          <w:rFonts w:hint="eastAsia" w:ascii="宋体" w:hAnsi="宋体"/>
          <w:sz w:val="21"/>
          <w:szCs w:val="21"/>
          <w:lang w:eastAsia="zh-CN"/>
        </w:rPr>
        <w:t>：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[PROJ(</w:t>
      </w:r>
      <w:r>
        <w:rPr>
          <w:rFonts w:hint="eastAsia" w:asciiTheme="minorEastAsia" w:hAnsiTheme="minorEastAsia"/>
          <w:color w:val="2323F1"/>
          <w:sz w:val="21"/>
          <w:szCs w:val="21"/>
          <w:lang w:val="en-US" w:eastAsia="zh-CN"/>
        </w:rPr>
        <w:t>2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).VAL]</w:t>
      </w:r>
      <w:r>
        <w:rPr>
          <w:rFonts w:ascii="宋体" w:hAnsi="宋体"/>
          <w:sz w:val="21"/>
          <w:szCs w:val="21"/>
        </w:rPr>
        <w:t>；</w:t>
      </w:r>
    </w:p>
    <w:p>
      <w:pPr>
        <w:spacing w:line="360" w:lineRule="auto"/>
        <w:ind w:firstLine="420" w:firstLineChars="200"/>
        <w:rPr>
          <w:rFonts w:hint="eastAsia" w:ascii="宋体" w:hAnsi="宋体" w:eastAsiaTheme="minorEastAsia"/>
          <w:sz w:val="21"/>
          <w:szCs w:val="21"/>
          <w:lang w:val="en-US" w:eastAsia="zh-CN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</w:rPr>
        <w:t>3</w:t>
      </w:r>
      <w:r>
        <w:rPr>
          <w:rFonts w:ascii="宋体" w:hAnsi="宋体"/>
          <w:sz w:val="21"/>
          <w:szCs w:val="21"/>
        </w:rPr>
        <w:t>）桥梁所处环境类别：</w:t>
      </w:r>
      <w:r>
        <w:rPr>
          <w:rFonts w:hint="eastAsia" w:ascii="宋体" w:hAnsi="宋体"/>
          <w:sz w:val="21"/>
          <w:szCs w:val="21"/>
        </w:rPr>
        <w:t>Ⅱ</w:t>
      </w:r>
      <w:r>
        <w:rPr>
          <w:rFonts w:ascii="宋体" w:hAnsi="宋体"/>
          <w:sz w:val="21"/>
          <w:szCs w:val="21"/>
        </w:rPr>
        <w:t>类，环境相对湿度：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[PROJ(</w:t>
      </w:r>
      <w:r>
        <w:rPr>
          <w:rFonts w:hint="eastAsia" w:asciiTheme="minorEastAsia" w:hAnsiTheme="minorEastAsia"/>
          <w:color w:val="2323F1"/>
          <w:sz w:val="21"/>
          <w:szCs w:val="21"/>
          <w:lang w:val="en-US" w:eastAsia="zh-CN"/>
        </w:rPr>
        <w:t>3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).VAL]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（4）现浇箱梁混凝土容重取26kN/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，端横隔板及中横隔板处按均布荷载</w:t>
      </w:r>
      <w:r>
        <w:rPr>
          <w:rFonts w:ascii="宋体" w:hAnsi="宋体"/>
          <w:sz w:val="21"/>
          <w:szCs w:val="21"/>
        </w:rPr>
        <w:t>91.5KN/m考虑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（5）现浇箱梁结构桥面铺装：10cm沥青混凝土+8cmC45混凝土桥面现浇层。沥青混凝土容重：24kN/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；桥面现浇层容重：26kN/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（6）防撞墙：防撞墙采用墙顶带钢管的钢筋砼墙式护栏，单侧防撞墙重量为11.15kN/m。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（7）箱梁预应力：顶板短钢束采用15-5预应力，腹板钢束采用15-1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预应力，底板钢束采用15-1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预应力。管道摩阻系数μ＝0.25；偏差系数K＝0.0015；一端锚具变形引起的钢束回缩量为6mm；钢绞线松驰率0.035，松弛系数ζ＝0.3；张拉控制应力：0.7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fpk。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（8）整体升降温均</w:t>
      </w:r>
      <w:r>
        <w:rPr>
          <w:rFonts w:ascii="宋体" w:hAnsi="宋体"/>
          <w:sz w:val="21"/>
          <w:szCs w:val="21"/>
        </w:rPr>
        <w:t>按</w:t>
      </w:r>
      <w:r>
        <w:rPr>
          <w:rFonts w:hint="eastAsia" w:ascii="宋体" w:hAnsi="宋体"/>
          <w:sz w:val="21"/>
          <w:szCs w:val="21"/>
        </w:rPr>
        <w:t>30℃</w:t>
      </w:r>
      <w:r>
        <w:rPr>
          <w:rFonts w:ascii="宋体" w:hAnsi="宋体"/>
          <w:sz w:val="21"/>
          <w:szCs w:val="21"/>
        </w:rPr>
        <w:t>考虑，不均匀沉降按</w:t>
      </w:r>
      <w:r>
        <w:rPr>
          <w:rFonts w:hint="eastAsia" w:ascii="宋体" w:hAnsi="宋体"/>
          <w:sz w:val="21"/>
          <w:szCs w:val="21"/>
        </w:rPr>
        <w:t>10</w:t>
      </w:r>
      <w:r>
        <w:rPr>
          <w:rFonts w:ascii="宋体" w:hAnsi="宋体"/>
          <w:sz w:val="21"/>
          <w:szCs w:val="21"/>
        </w:rPr>
        <w:t>mm考虑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</w:rPr>
        <w:t>9</w:t>
      </w:r>
      <w:r>
        <w:rPr>
          <w:rFonts w:ascii="宋体" w:hAnsi="宋体"/>
          <w:sz w:val="21"/>
          <w:szCs w:val="21"/>
        </w:rPr>
        <w:t>）箱梁梯度温度按</w:t>
      </w:r>
      <w:r>
        <w:rPr>
          <w:rFonts w:hint="eastAsia" w:ascii="宋体" w:hAnsi="宋体"/>
          <w:sz w:val="21"/>
          <w:szCs w:val="21"/>
        </w:rPr>
        <w:t>《公路桥涵设计通用规范》（JTG D60—2015）规范取值</w:t>
      </w:r>
    </w:p>
    <w:p>
      <w:pPr>
        <w:pStyle w:val="3"/>
        <w:numPr>
          <w:ilvl w:val="1"/>
          <w:numId w:val="1"/>
        </w:numPr>
        <w:bidi w:val="0"/>
      </w:pPr>
      <w:bookmarkStart w:id="6" w:name="_Toc54688554"/>
      <w:r>
        <w:t>规范标准</w:t>
      </w:r>
      <w:bookmarkEnd w:id="4"/>
      <w:bookmarkEnd w:id="6"/>
    </w:p>
    <w:tbl>
      <w:tblPr>
        <w:tblStyle w:val="1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76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592" w:type="dxa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  <w:t>[CODE(&amp;i(CODE)&amp;).NO]</w:t>
            </w:r>
            <w:r>
              <w:rPr>
                <w:rFonts w:hint="eastAsia" w:asciiTheme="minorEastAsia" w:hAnsiTheme="minorEastAsia" w:eastAsiaTheme="minorEastAsia"/>
                <w:color w:val="2323F1"/>
                <w:sz w:val="21"/>
                <w:szCs w:val="21"/>
              </w:rPr>
              <w:t>.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  <w:t>[CODE(i).CONTENT]</w:t>
            </w:r>
          </w:p>
        </w:tc>
      </w:tr>
    </w:tbl>
    <w:p>
      <w:pPr>
        <w:rPr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  <w:ind w:left="992" w:leftChars="0" w:hanging="567" w:firstLineChars="0"/>
      </w:pPr>
      <w:bookmarkStart w:id="7" w:name="_Toc437874184"/>
      <w:bookmarkStart w:id="8" w:name="_Toc54688555"/>
      <w:r>
        <w:t>主要材料</w:t>
      </w:r>
      <w:bookmarkEnd w:id="7"/>
      <w:r>
        <w:t>及设计参数</w:t>
      </w:r>
      <w:bookmarkEnd w:id="8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主要材料及设计参数根据设计文件及规范取值，见下表。</w:t>
      </w:r>
    </w:p>
    <w:p>
      <w:pPr>
        <w:rPr>
          <w:sz w:val="21"/>
          <w:szCs w:val="21"/>
        </w:rPr>
      </w:pPr>
    </w:p>
    <w:tbl>
      <w:tblPr>
        <w:tblStyle w:val="16"/>
        <w:tblW w:w="7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6"/>
        <w:gridCol w:w="1454"/>
        <w:gridCol w:w="1889"/>
        <w:gridCol w:w="1096"/>
        <w:gridCol w:w="920"/>
        <w:gridCol w:w="1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tblHeader/>
          <w:jc w:val="center"/>
        </w:trPr>
        <w:tc>
          <w:tcPr>
            <w:tcW w:w="11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符号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&amp;iUSEDHNT&amp;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IDX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强度等级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IDX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Ec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轴心抗压强度标准标准值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轴心抗拉强度标准标准值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轴心抗压强度标准设计值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fcd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fcd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轴心抗拉强度标准设计值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ftd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ftd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短暂状况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（施工阶段）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0.70fck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{0.7*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0.70ftk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{0.7*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持久状况</w:t>
            </w: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频遇效应组合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抗裂验算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频遇组合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25" o:spt="75" type="#_x0000_t75" style="height:18.65pt;width:84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准永久组合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26" o:spt="75" type="#_x0000_t75" style="height:18.65pt;width:6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最大主拉应力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预应力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[TENDON(&amp;iUSEDTENDON&amp;).IDX]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抗拉强度标准标准值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Ep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抗拉强度标准设计值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fpd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fsdp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最大控制应力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4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正常使用阶段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未开裂构件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允许开裂构件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</w:tbl>
    <w:p>
      <w:pPr>
        <w:rPr>
          <w:rFonts w:asciiTheme="minorEastAsia" w:hAnsiTheme="minorEastAsia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9" w:name="_Toc54688556"/>
      <w:bookmarkStart w:id="10" w:name="_Toc437874193"/>
      <w:r>
        <w:t>模型信息</w:t>
      </w:r>
      <w:bookmarkEnd w:id="9"/>
      <w:bookmarkEnd w:id="10"/>
    </w:p>
    <w:p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ascii="宋体" w:hAnsi="宋体"/>
          <w:sz w:val="21"/>
          <w:szCs w:val="21"/>
        </w:rPr>
        <w:t>整体计算模型主梁共划分为</w:t>
      </w:r>
      <w:r>
        <w:rPr>
          <w:rFonts w:hint="eastAsia" w:ascii="宋体" w:hAnsi="宋体"/>
          <w:b w:val="0"/>
          <w:bCs w:val="0"/>
          <w:color w:val="0000FF"/>
          <w:sz w:val="21"/>
          <w:szCs w:val="21"/>
          <w:lang w:val="en-US" w:eastAsia="zh-CN"/>
        </w:rPr>
        <w:t>[MODELINFO.EN]</w:t>
      </w:r>
      <w:r>
        <w:rPr>
          <w:rFonts w:ascii="宋体" w:hAnsi="宋体"/>
          <w:sz w:val="21"/>
          <w:szCs w:val="21"/>
        </w:rPr>
        <w:t>个单元</w:t>
      </w:r>
      <w:r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  <w:t>。</w:t>
      </w:r>
      <w:r>
        <w:rPr>
          <w:rFonts w:ascii="宋体" w:hAnsi="宋体"/>
          <w:sz w:val="21"/>
          <w:szCs w:val="21"/>
        </w:rPr>
        <w:t>主梁计算类型为：</w:t>
      </w:r>
      <w:r>
        <w:rPr>
          <w:rFonts w:ascii="宋体" w:hAnsi="宋体" w:eastAsia="宋体"/>
          <w:color w:val="2323F1"/>
          <w:sz w:val="21"/>
          <w:szCs w:val="21"/>
        </w:rPr>
        <w:t>[COMPINFO(</w:t>
      </w:r>
      <w:r>
        <w:rPr>
          <w:rFonts w:hint="eastAsia" w:ascii="宋体" w:hAnsi="宋体" w:eastAsia="宋体"/>
          <w:color w:val="2323F1"/>
          <w:sz w:val="21"/>
          <w:szCs w:val="21"/>
          <w:lang w:eastAsia="zh-CN"/>
        </w:rPr>
        <w:t>构件名称</w:t>
      </w:r>
      <w:r>
        <w:rPr>
          <w:rFonts w:ascii="宋体" w:hAnsi="宋体" w:eastAsia="宋体"/>
          <w:color w:val="2323F1"/>
          <w:sz w:val="21"/>
          <w:szCs w:val="21"/>
        </w:rPr>
        <w:t>).CHECKTYPE]</w:t>
      </w:r>
      <w:r>
        <w:rPr>
          <w:rFonts w:hint="eastAsia" w:ascii="宋体" w:hAnsi="宋体" w:eastAsia="宋体"/>
          <w:sz w:val="21"/>
          <w:szCs w:val="21"/>
          <w:lang w:eastAsia="zh-CN"/>
        </w:rPr>
        <w:t>。</w:t>
      </w:r>
      <w:r>
        <w:rPr>
          <w:rFonts w:ascii="宋体" w:hAnsi="宋体"/>
          <w:sz w:val="21"/>
          <w:szCs w:val="21"/>
        </w:rPr>
        <w:t>计算模型如图下图所示：</w:t>
      </w:r>
    </w:p>
    <w:p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[</w:t>
      </w:r>
      <w:r>
        <w:rPr>
          <w:sz w:val="21"/>
          <w:szCs w:val="21"/>
        </w:rPr>
        <w:t>$BRIDGEMODEL</w:t>
      </w:r>
      <w:r>
        <w:rPr>
          <w:rFonts w:hint="eastAsia"/>
          <w:sz w:val="21"/>
          <w:szCs w:val="21"/>
        </w:rPr>
        <w:t>(</w:t>
      </w:r>
      <w:r>
        <w:rPr>
          <w:sz w:val="21"/>
          <w:szCs w:val="21"/>
        </w:rPr>
        <w:t>GraphType=</w:t>
      </w:r>
      <w:r>
        <w:rPr>
          <w:rFonts w:hint="eastAsia"/>
          <w:sz w:val="21"/>
          <w:szCs w:val="21"/>
        </w:rPr>
        <w:t>实体图,</w:t>
      </w:r>
      <w:r>
        <w:rPr>
          <w:sz w:val="21"/>
          <w:szCs w:val="21"/>
        </w:rPr>
        <w:t>NodeShow=false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>ElementShow=false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sz w:val="21"/>
          <w:szCs w:val="21"/>
        </w:rPr>
        <w:t>Dir=3d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color w:val="FF0000"/>
          <w:sz w:val="21"/>
          <w:szCs w:val="21"/>
          <w:lang w:val="en-US" w:eastAsia="zh-CN"/>
        </w:rPr>
        <w:t>ViewerType=7</w:t>
      </w:r>
      <w:r>
        <w:rPr>
          <w:rFonts w:hint="eastAsia"/>
          <w:sz w:val="21"/>
          <w:szCs w:val="21"/>
          <w:lang w:val="en-US" w:eastAsia="zh-CN"/>
        </w:rPr>
        <w:t>,ContourLine=true</w:t>
      </w:r>
      <w:r>
        <w:rPr>
          <w:rFonts w:hint="eastAsia"/>
          <w:sz w:val="21"/>
          <w:szCs w:val="21"/>
        </w:rPr>
        <w:t>)</w:t>
      </w:r>
      <w:r>
        <w:rPr>
          <w:sz w:val="21"/>
          <w:szCs w:val="21"/>
        </w:rPr>
        <w:t>$]</w:t>
      </w:r>
    </w:p>
    <w:p>
      <w:pPr>
        <w:jc w:val="center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(Task: 10792)</w:t>
      </w:r>
    </w:p>
    <w:p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计算模型简图</w:t>
      </w:r>
    </w:p>
    <w:p>
      <w:pPr>
        <w:pStyle w:val="3"/>
        <w:numPr>
          <w:ilvl w:val="1"/>
          <w:numId w:val="1"/>
        </w:numPr>
        <w:bidi w:val="0"/>
      </w:pPr>
      <w:bookmarkStart w:id="11" w:name="_Toc54688557"/>
      <w:bookmarkStart w:id="12" w:name="_Toc508276372"/>
      <w:bookmarkStart w:id="13" w:name="_Toc364324442"/>
      <w:r>
        <w:t>施工阶段划分</w:t>
      </w:r>
      <w:bookmarkEnd w:id="11"/>
      <w:bookmarkEnd w:id="12"/>
      <w:bookmarkEnd w:id="13"/>
    </w:p>
    <w:p>
      <w:pPr>
        <w:ind w:firstLine="48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全桥共划分为10个施工阶段，各阶段列表如下：</w:t>
      </w:r>
    </w:p>
    <w:p>
      <w:pP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施工阶段划分表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5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4" w:type="dxa"/>
            <w:vAlign w:val="center"/>
          </w:tcPr>
          <w:p>
            <w:pPr>
              <w:widowControl/>
              <w:jc w:val="center"/>
              <w:rPr>
                <w:color w:val="000000"/>
                <w:sz w:val="21"/>
                <w:szCs w:val="21"/>
                <w:vertAlign w:val="baseline"/>
              </w:rPr>
            </w:pP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施工阶段号</w:t>
            </w:r>
          </w:p>
        </w:tc>
        <w:tc>
          <w:tcPr>
            <w:tcW w:w="5798" w:type="dxa"/>
            <w:vAlign w:val="center"/>
          </w:tcPr>
          <w:p>
            <w:pPr>
              <w:widowControl/>
              <w:ind w:firstLine="480" w:firstLineChars="0"/>
              <w:jc w:val="center"/>
              <w:rPr>
                <w:color w:val="000000"/>
                <w:sz w:val="21"/>
                <w:szCs w:val="21"/>
                <w:vertAlign w:val="baseline"/>
              </w:rPr>
            </w:pP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施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工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阶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段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名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4" w:type="dxa"/>
          </w:tcPr>
          <w:p>
            <w:pPr>
              <w:jc w:val="center"/>
              <w:rPr>
                <w:rFonts w:ascii="宋体" w:hAnsi="宋体" w:eastAsia="宋体"/>
                <w:color w:val="2323F1"/>
                <w:sz w:val="21"/>
                <w:szCs w:val="21"/>
              </w:rPr>
            </w:pP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[CONSSTEP(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&amp;iS&amp;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NO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]</w:t>
            </w:r>
          </w:p>
        </w:tc>
        <w:tc>
          <w:tcPr>
            <w:tcW w:w="5798" w:type="dxa"/>
          </w:tcPr>
          <w:p>
            <w:pPr>
              <w:jc w:val="center"/>
              <w:rPr>
                <w:color w:val="2323F1"/>
                <w:sz w:val="21"/>
                <w:szCs w:val="21"/>
                <w:vertAlign w:val="baseline"/>
              </w:rPr>
            </w:pP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[CONSSTEP(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iS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NAME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]</w:t>
            </w:r>
          </w:p>
        </w:tc>
      </w:tr>
    </w:tbl>
    <w:p>
      <w:pPr>
        <w:numPr>
          <w:ilvl w:val="0"/>
          <w:numId w:val="0"/>
        </w:numPr>
        <w:bidi w:val="0"/>
        <w:ind w:leftChars="0"/>
      </w:pPr>
      <w:bookmarkStart w:id="14" w:name="_Toc54688558"/>
    </w:p>
    <w:p>
      <w:pPr>
        <w:pStyle w:val="2"/>
        <w:numPr>
          <w:ilvl w:val="0"/>
          <w:numId w:val="1"/>
        </w:numPr>
        <w:bidi w:val="0"/>
      </w:pPr>
      <w:r>
        <w:rPr>
          <w:rFonts w:hint="eastAsia"/>
        </w:rPr>
        <w:t>主梁计算结果</w:t>
      </w:r>
      <w:bookmarkEnd w:id="14"/>
    </w:p>
    <w:p>
      <w:pPr>
        <w:pStyle w:val="3"/>
        <w:numPr>
          <w:ilvl w:val="1"/>
          <w:numId w:val="1"/>
        </w:numPr>
        <w:bidi w:val="0"/>
      </w:pPr>
      <w:bookmarkStart w:id="15" w:name="_Toc54688559"/>
      <w:r>
        <w:t>持久状况承载能力极限状态</w:t>
      </w:r>
      <w:bookmarkEnd w:id="15"/>
    </w:p>
    <w:p>
      <w:pPr>
        <w:pStyle w:val="4"/>
        <w:numPr>
          <w:ilvl w:val="2"/>
          <w:numId w:val="1"/>
        </w:numPr>
        <w:bidi w:val="0"/>
      </w:pPr>
      <w:bookmarkStart w:id="16" w:name="_Toc437874197"/>
      <w:bookmarkStart w:id="17" w:name="_Toc54688560"/>
      <w:r>
        <w:t>正截面承载力</w:t>
      </w:r>
      <w:bookmarkEnd w:id="16"/>
      <w:bookmarkEnd w:id="17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根据《公路钢筋混凝土及预应力混凝土桥涵设计规范》(JTG3362-2018)第5.1.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条的规定，桥梁构件的承载能力极限状态计算应满足：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γ</w:t>
      </w:r>
      <w:r>
        <w:rPr>
          <w:rFonts w:hint="eastAsia" w:ascii="宋体" w:hAnsi="宋体"/>
          <w:sz w:val="21"/>
          <w:szCs w:val="21"/>
          <w:vertAlign w:val="subscript"/>
        </w:rPr>
        <w:t>0</w:t>
      </w:r>
      <w:r>
        <w:rPr>
          <w:rFonts w:hint="eastAsia" w:ascii="宋体" w:hAnsi="宋体"/>
          <w:sz w:val="21"/>
          <w:szCs w:val="21"/>
        </w:rPr>
        <w:t>S≤R</w:t>
      </w:r>
    </w:p>
    <w:p>
      <w:pPr>
        <w:jc w:val="center"/>
        <w:rPr>
          <w:rFonts w:hint="eastAsia" w:ascii="Candara" w:hAnsi="Candara" w:eastAsia="Yu Mincho Demibold"/>
          <w:color w:val="2323F1"/>
          <w:sz w:val="21"/>
          <w:szCs w:val="21"/>
        </w:rPr>
      </w:pPr>
      <w:r>
        <w:rPr>
          <w:rFonts w:hint="eastAsia" w:ascii="Candara" w:hAnsi="Candara" w:eastAsia="Yu Mincho Demibold"/>
          <w:color w:val="2323F1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TextZoomRate=1.5;Dir=axial;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红;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MaxMy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ActionType=组合工况;ActionName=Comb_01;EffectType=内力;EffectIndex=MY;MaxIndex=MAX_MY;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蓝;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MinMy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ActionType=组合工况;ActionName=Comb_01;EffectType=内力;EffectIndex=MY;MaxIndex=M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ActionType=组合工况;ActionName=Comb_01;EffectType=正截面强度;EffectIndex=MY1;MaxIndex=MAX_MY;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ActionType=组合工况;ActionName=Comb_01;EffectType=正截面强度;EffectIndex=MY2;MaxIndex=MAX_MY;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ActionType=组合工况;ActionName=Comb_01;EffectType=正截面强度;EffectIndex=MY1;MaxIndex=M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ChangeEffect=4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ActionType=组合工况;ActionName=Comb_01;EffectType=正截面强度;EffectIndex=MY2;MaxIndex=M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UnitScale=1e-3;DrawPos=-1)$]</w:t>
      </w:r>
    </w:p>
    <w:p>
      <w:pPr>
        <w:jc w:val="center"/>
        <w:rPr>
          <w:rFonts w:hint="default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正截面</w:t>
      </w:r>
      <w:r>
        <w:rPr>
          <w:rFonts w:ascii="宋体" w:hAnsi="宋体"/>
          <w:sz w:val="21"/>
          <w:szCs w:val="21"/>
        </w:rPr>
        <w:t>弯矩及其对应的抗力图</w:t>
      </w:r>
    </w:p>
    <w:p>
      <w:pPr>
        <w:jc w:val="both"/>
        <w:rPr>
          <w:rFonts w:hint="eastAsia" w:eastAsiaTheme="minorEastAsia"/>
          <w:color w:val="000000"/>
          <w:sz w:val="21"/>
          <w:szCs w:val="21"/>
          <w:lang w:eastAsia="zh-CN"/>
        </w:rPr>
      </w:pPr>
    </w:p>
    <w:tbl>
      <w:tblPr>
        <w:tblStyle w:val="16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225"/>
        <w:gridCol w:w="1432"/>
        <w:gridCol w:w="1443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595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正截面抗弯承载能力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弯矩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汇总表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kN.m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3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单元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截面位置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效应类型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效应值</w:t>
            </w:r>
          </w:p>
        </w:tc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[IELEMENT(&amp;iE(运营阶段,0,OUTPUT_TAG)&amp;).Num]</w:t>
            </w:r>
          </w:p>
        </w:tc>
        <w:tc>
          <w:tcPr>
            <w:tcW w:w="122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[IELEMENT(iE).LN]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最大内力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[FSZ(iE,L,Comb_01,MAX_MY).mY]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[UR(iE,L,Comb_01,MAX_MY).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最大内力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{$iif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[FSZ(iE,L,Comb_01,MAX_MY).mY]/[UR(iE,L,Comb_01,MAX_MY).mY1]&gt;0,[UR(iE,L,Comb_01,MAX_MY).mY1],[UR(iE,L,Comb_01,MAX_MY).mY2]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}</w:t>
            </w:r>
          </w:p>
        </w:tc>
        <w:tc>
          <w:tcPr>
            <w:tcW w:w="112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最小内力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_MY).mY]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{[UR(iE,L,Comb_01,MIN_MY).安全系数],ENOB(2)}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最小内力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pStyle w:val="382"/>
              <w:ind w:left="105" w:hanging="105" w:hangingChar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{$iif(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_MY).mY1]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&gt;0,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_MY).mY1]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_MY).mY2]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)}</w:t>
            </w:r>
          </w:p>
        </w:tc>
        <w:tc>
          <w:tcPr>
            <w:tcW w:w="112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color w:val="000000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color w:val="FF0000"/>
          <w:sz w:val="21"/>
          <w:szCs w:val="21"/>
        </w:rPr>
      </w:pPr>
      <w:r>
        <w:rPr>
          <w:rFonts w:ascii="宋体" w:hAnsi="宋体"/>
          <w:color w:val="FF0000"/>
          <w:sz w:val="21"/>
          <w:szCs w:val="21"/>
        </w:rPr>
        <w:t>由上可知，最大弯矩发生在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设计</w:t>
      </w:r>
      <w:r>
        <w:rPr>
          <w:rFonts w:ascii="宋体" w:hAnsi="宋体"/>
          <w:color w:val="FF0000"/>
          <w:sz w:val="21"/>
          <w:szCs w:val="21"/>
        </w:rPr>
        <w:t>弯矩值为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,L,Comb_01,MAX_MY).mY]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</w:t>
      </w:r>
      <w:r>
        <w:rPr>
          <w:rFonts w:ascii="宋体" w:hAnsi="宋体"/>
          <w:color w:val="FF0000"/>
          <w:sz w:val="21"/>
          <w:szCs w:val="21"/>
        </w:rPr>
        <w:t>对应抗力为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{$iif(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/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&gt;0,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,L,Comb_01,MAX_MY).mY2]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)}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，安全系数为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安全系数,ENOB(2)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}</w:t>
      </w:r>
      <w:r>
        <w:rPr>
          <w:rFonts w:hint="eastAsia" w:ascii="宋体" w:hAnsi="宋体"/>
          <w:b/>
          <w:bCs/>
          <w:color w:val="FF0000"/>
          <w:sz w:val="21"/>
          <w:szCs w:val="21"/>
          <w:lang w:eastAsia="zh-CN"/>
        </w:rPr>
        <w:t>。</w:t>
      </w:r>
      <w:r>
        <w:rPr>
          <w:rFonts w:ascii="宋体" w:hAnsi="宋体"/>
          <w:color w:val="FF0000"/>
          <w:sz w:val="21"/>
          <w:szCs w:val="21"/>
        </w:rPr>
        <w:t>最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小</w:t>
      </w:r>
      <w:r>
        <w:rPr>
          <w:rFonts w:ascii="宋体" w:hAnsi="宋体"/>
          <w:color w:val="FF0000"/>
          <w:sz w:val="21"/>
          <w:szCs w:val="21"/>
        </w:rPr>
        <w:t>弯矩发生在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设计</w:t>
      </w:r>
      <w:r>
        <w:rPr>
          <w:rFonts w:ascii="宋体" w:hAnsi="宋体"/>
          <w:color w:val="FF0000"/>
          <w:sz w:val="21"/>
          <w:szCs w:val="21"/>
        </w:rPr>
        <w:t>弯矩值为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_MY).mY]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</w:t>
      </w:r>
      <w:r>
        <w:rPr>
          <w:rFonts w:ascii="宋体" w:hAnsi="宋体"/>
          <w:color w:val="FF0000"/>
          <w:sz w:val="21"/>
          <w:szCs w:val="21"/>
        </w:rPr>
        <w:t>对应抗力为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{$iif(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/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&gt;0,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_MY).mY2]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)}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，安全系数为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安全系数,ENOB(2)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}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其余</w:t>
      </w:r>
      <w:r>
        <w:rPr>
          <w:rFonts w:ascii="宋体" w:hAnsi="宋体"/>
          <w:color w:val="FF0000"/>
          <w:sz w:val="21"/>
          <w:szCs w:val="21"/>
        </w:rPr>
        <w:t>位置均满足设计要求。</w:t>
      </w:r>
    </w:p>
    <w:p>
      <w:pPr>
        <w:pStyle w:val="4"/>
        <w:numPr>
          <w:ilvl w:val="2"/>
          <w:numId w:val="1"/>
        </w:numPr>
        <w:bidi w:val="0"/>
      </w:pPr>
      <w:bookmarkStart w:id="18" w:name="_Toc54688561"/>
      <w:bookmarkStart w:id="19" w:name="_Toc437874200"/>
      <w:r>
        <w:t>斜截面承载力</w:t>
      </w:r>
      <w:bookmarkEnd w:id="18"/>
      <w:bookmarkEnd w:id="19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根据《公路钢筋混凝土及预应力混凝土桥涵设计规范》(JTG3362-2018)第5.1.2条的规定，桥梁构件的承载能力极限状态计算应满足：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γ</w:t>
      </w:r>
      <w:r>
        <w:rPr>
          <w:rFonts w:hint="eastAsia" w:ascii="宋体" w:hAnsi="宋体"/>
          <w:sz w:val="21"/>
          <w:szCs w:val="21"/>
          <w:vertAlign w:val="subscript"/>
        </w:rPr>
        <w:t>0</w:t>
      </w:r>
      <w:r>
        <w:rPr>
          <w:rFonts w:hint="eastAsia" w:ascii="宋体" w:hAnsi="宋体"/>
          <w:sz w:val="21"/>
          <w:szCs w:val="21"/>
        </w:rPr>
        <w:t>S≤R</w:t>
      </w:r>
    </w:p>
    <w:p>
      <w:pPr>
        <w:jc w:val="center"/>
        <w:rPr>
          <w:rFonts w:hint="eastAsia" w:ascii="Candara" w:hAnsi="Candara" w:eastAsia="Yu Mincho Demibold"/>
          <w:color w:val="2323F1"/>
          <w:sz w:val="21"/>
          <w:szCs w:val="21"/>
        </w:rPr>
      </w:pPr>
      <w:r>
        <w:rPr>
          <w:rFonts w:hint="eastAsia" w:ascii="Candara" w:hAnsi="Candara" w:eastAsia="Yu Mincho Demibold"/>
          <w:color w:val="2323F1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TextZoomRate=1.5;Dir=axial;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红;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MaxFZ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蓝;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MinFZ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;ObjType=构件; 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ObjName=ALL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UnitScale=1e-3;DrawPos=-1)$]</w:t>
      </w:r>
    </w:p>
    <w:p>
      <w:pPr>
        <w:spacing w:before="156" w:beforeLines="50" w:after="156" w:afterLines="5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斜截面设计</w:t>
      </w:r>
      <w:r>
        <w:rPr>
          <w:rFonts w:hint="eastAsia" w:ascii="宋体" w:hAnsi="宋体" w:eastAsia="宋体" w:cs="宋体"/>
          <w:sz w:val="21"/>
          <w:szCs w:val="21"/>
        </w:rPr>
        <w:t>剪力及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对应</w:t>
      </w:r>
      <w:r>
        <w:rPr>
          <w:rFonts w:hint="eastAsia" w:ascii="宋体" w:hAnsi="宋体" w:eastAsia="宋体" w:cs="宋体"/>
          <w:sz w:val="21"/>
          <w:szCs w:val="21"/>
        </w:rPr>
        <w:t>抗力图</w:t>
      </w:r>
    </w:p>
    <w:p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tbl>
      <w:tblPr>
        <w:tblStyle w:val="16"/>
        <w:tblW w:w="5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290"/>
        <w:gridCol w:w="1225"/>
        <w:gridCol w:w="1367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571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斜截面设计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剪力及其对应的抗力表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(kN)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6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单元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截面位置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效应类型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效应值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[IELEMENT(&amp;iE(运营阶段,0,OUTPUT_TAG)&amp;).Num]</w:t>
            </w:r>
          </w:p>
        </w:tc>
        <w:tc>
          <w:tcPr>
            <w:tcW w:w="12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[IELEMENT(iE).LN]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最大剪力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[FSZ(iE,L,Comb_01,MAX_FZ).fZ]</w:t>
            </w:r>
          </w:p>
        </w:tc>
        <w:tc>
          <w:tcPr>
            <w:tcW w:w="10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UV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最大剪力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[UV(iE,L,Comb_01,MAX_FZ).vUlt]</w:t>
            </w:r>
          </w:p>
        </w:tc>
        <w:tc>
          <w:tcPr>
            <w:tcW w:w="10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最小剪力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_FZ).fZ]</w:t>
            </w:r>
          </w:p>
        </w:tc>
        <w:tc>
          <w:tcPr>
            <w:tcW w:w="10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UV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最小剪力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[UV(iE,L,Comb_01,M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_FZ).vUlt]</w:t>
            </w:r>
          </w:p>
        </w:tc>
        <w:tc>
          <w:tcPr>
            <w:tcW w:w="10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bidi w:val="0"/>
        <w:rPr>
          <w:sz w:val="21"/>
          <w:szCs w:val="21"/>
        </w:rPr>
      </w:pPr>
    </w:p>
    <w:p>
      <w:pPr>
        <w:bidi w:val="0"/>
        <w:spacing w:line="360" w:lineRule="auto"/>
        <w:ind w:firstLine="420" w:firstLineChars="0"/>
        <w:rPr>
          <w:rFonts w:hint="default" w:ascii="宋体" w:hAnsi="宋体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注：上表中，安全系数100表示该截面和工况下无需进行抗剪验算。</w:t>
      </w:r>
    </w:p>
    <w:p>
      <w:pPr>
        <w:bidi w:val="0"/>
        <w:spacing w:line="360" w:lineRule="auto"/>
        <w:ind w:firstLine="420" w:firstLineChars="200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</w:rPr>
        <w:t>由上可知，最大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发生在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auto"/>
          <w:sz w:val="21"/>
          <w:szCs w:val="21"/>
        </w:rPr>
        <w:t>,L,Comb_01,MAX_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auto"/>
          <w:sz w:val="21"/>
          <w:szCs w:val="21"/>
        </w:rPr>
        <w:t>,L,Comb_01,MAX_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设计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值为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,L,Comb_01,MAX_FZ).fZ]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</w:t>
      </w:r>
      <w:r>
        <w:rPr>
          <w:rFonts w:ascii="宋体" w:hAnsi="宋体"/>
          <w:color w:val="auto"/>
          <w:sz w:val="21"/>
          <w:szCs w:val="21"/>
        </w:rPr>
        <w:t>对应抗力为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[UV(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,L,Comb_01,MAX_FZ).vUlt]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，安全系数为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{</w:t>
      </w:r>
      <w:r>
        <w:rPr>
          <w:rFonts w:asciiTheme="minorEastAsia" w:hAnsiTheme="minorEastAsia" w:eastAsiaTheme="minorEastAsia"/>
          <w:sz w:val="21"/>
          <w:szCs w:val="21"/>
        </w:rPr>
        <w:t>[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UV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sz w:val="21"/>
          <w:szCs w:val="21"/>
        </w:rPr>
        <w:t>,L,Comb_01,M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AX</w:t>
      </w:r>
      <w:r>
        <w:rPr>
          <w:rFonts w:asciiTheme="minorEastAsia" w:hAnsiTheme="minorEastAsia" w:eastAsiaTheme="minorEastAsia"/>
          <w:sz w:val="21"/>
          <w:szCs w:val="21"/>
        </w:rPr>
        <w:t>_FZ).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安全系数</w:t>
      </w:r>
      <w:r>
        <w:rPr>
          <w:rFonts w:asciiTheme="minorEastAsia" w:hAnsiTheme="minorEastAsia" w:eastAsiaTheme="minorEastAsia"/>
          <w:sz w:val="21"/>
          <w:szCs w:val="21"/>
        </w:rPr>
        <w:t>]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,ENOB(2)}</w:t>
      </w:r>
      <w:r>
        <w:rPr>
          <w:rFonts w:hint="eastAsia" w:ascii="宋体" w:hAnsi="宋体"/>
          <w:b/>
          <w:bCs/>
          <w:color w:val="auto"/>
          <w:sz w:val="21"/>
          <w:szCs w:val="21"/>
          <w:lang w:eastAsia="zh-CN"/>
        </w:rPr>
        <w:t>。</w:t>
      </w:r>
      <w:r>
        <w:rPr>
          <w:rFonts w:ascii="宋体" w:hAnsi="宋体"/>
          <w:color w:val="auto"/>
          <w:sz w:val="21"/>
          <w:szCs w:val="21"/>
        </w:rPr>
        <w:t>最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小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发生在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_EleNum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auto"/>
          <w:sz w:val="21"/>
          <w:szCs w:val="21"/>
        </w:rPr>
        <w:t>,L,Comb_01,M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auto"/>
          <w:sz w:val="21"/>
          <w:szCs w:val="21"/>
        </w:rPr>
        <w:t>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设计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值为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_FZ).fZ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</w:t>
      </w:r>
      <w:r>
        <w:rPr>
          <w:rFonts w:ascii="宋体" w:hAnsi="宋体"/>
          <w:color w:val="auto"/>
          <w:sz w:val="21"/>
          <w:szCs w:val="21"/>
        </w:rPr>
        <w:t>对应抗力为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[UV(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_FZ).vUlt]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，安全系数为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{</w:t>
      </w:r>
      <w:r>
        <w:rPr>
          <w:rFonts w:asciiTheme="minorEastAsia" w:hAnsiTheme="minorEastAsia" w:eastAsiaTheme="minorEastAsia"/>
          <w:sz w:val="21"/>
          <w:szCs w:val="21"/>
        </w:rPr>
        <w:t>[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UV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sz w:val="21"/>
          <w:szCs w:val="21"/>
        </w:rPr>
        <w:t>,L,Comb_01,M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sz w:val="21"/>
          <w:szCs w:val="21"/>
        </w:rPr>
        <w:t>_FZ).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安全系数</w:t>
      </w:r>
      <w:r>
        <w:rPr>
          <w:rFonts w:asciiTheme="minorEastAsia" w:hAnsiTheme="minorEastAsia" w:eastAsiaTheme="minorEastAsia"/>
          <w:sz w:val="21"/>
          <w:szCs w:val="21"/>
        </w:rPr>
        <w:t>]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,ENOB(2)}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其余</w:t>
      </w:r>
      <w:r>
        <w:rPr>
          <w:rFonts w:ascii="宋体" w:hAnsi="宋体"/>
          <w:color w:val="auto"/>
          <w:sz w:val="21"/>
          <w:szCs w:val="21"/>
        </w:rPr>
        <w:t>位置均满足设计要求。</w:t>
      </w:r>
    </w:p>
    <w:p>
      <w:pPr>
        <w:pStyle w:val="4"/>
        <w:numPr>
          <w:ilvl w:val="2"/>
          <w:numId w:val="1"/>
        </w:numPr>
        <w:bidi w:val="0"/>
        <w:rPr>
          <w:rFonts w:ascii="宋体" w:hAnsi="宋体"/>
          <w:sz w:val="21"/>
          <w:szCs w:val="21"/>
        </w:rPr>
      </w:pPr>
      <w:r>
        <w:rPr>
          <w:rFonts w:hint="eastAsia"/>
        </w:rPr>
        <w:t>标准值组合</w:t>
      </w:r>
      <w:r>
        <w:t>支座反力</w:t>
      </w:r>
    </w:p>
    <w:tbl>
      <w:tblPr>
        <w:tblStyle w:val="16"/>
        <w:tblW w:w="5254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751"/>
        <w:gridCol w:w="1752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525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标准值</w:t>
            </w:r>
            <w:r>
              <w:rPr>
                <w:rFonts w:ascii="宋体" w:hAnsi="宋体"/>
                <w:sz w:val="21"/>
                <w:szCs w:val="21"/>
              </w:rPr>
              <w:t>组合支座反力表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竖向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最大</w:t>
            </w:r>
          </w:p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竖向最小</w:t>
            </w:r>
          </w:p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[ISUPPORT(&amp;iR(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运营阶段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</w:tr>
    </w:tbl>
    <w:p>
      <w:pPr>
        <w:bidi w:val="0"/>
        <w:spacing w:line="360" w:lineRule="auto"/>
        <w:rPr>
          <w:rFonts w:ascii="宋体" w:hAnsi="宋体"/>
          <w:color w:val="auto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20" w:name="_Toc54688562"/>
      <w:bookmarkStart w:id="21" w:name="_Toc437874204"/>
      <w:r>
        <w:t>持久状况正常使用极限状态</w:t>
      </w:r>
      <w:bookmarkEnd w:id="20"/>
      <w:bookmarkEnd w:id="21"/>
    </w:p>
    <w:p>
      <w:pPr>
        <w:pStyle w:val="4"/>
        <w:numPr>
          <w:ilvl w:val="2"/>
          <w:numId w:val="1"/>
        </w:numPr>
        <w:bidi w:val="0"/>
      </w:pPr>
      <w:bookmarkStart w:id="22" w:name="_Toc437874205"/>
      <w:bookmarkStart w:id="23" w:name="_Toc54688563"/>
      <w:r>
        <w:t>频遇组合下正截面抗裂验算</w:t>
      </w:r>
      <w:bookmarkEnd w:id="22"/>
      <w:bookmarkEnd w:id="23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根据《公路钢筋混凝土及预应力混凝土桥涵设计规范》(JTG3362-2018)第6.3.1条第1款规定，应对构件正截面混凝土的拉应力进行验算，并应符合下列要求：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－0.85σ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分段浇筑或砂浆接缝的纵向分块构件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－0.80σ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lt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Name=顶缘;ObjType=构件;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ObjName=ALL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;StageType=运营阶段;ActionType=组合工况;ActionName=</w:t>
      </w:r>
      <w:r>
        <w:rPr>
          <w:rFonts w:hint="eastAsia" w:ascii="宋体" w:hAnsi="宋体" w:eastAsia="宋体" w:cs="宋体"/>
          <w:sz w:val="21"/>
          <w:szCs w:val="21"/>
        </w:rPr>
        <w:t>03b 频遇组合-现浇全预应力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;EffectType=主材弹性应力;EffectIndex=sigmaX;MaxIndex=MIN_SIGMA_X;UnitScale=1e-6;SectionNum=SecName;StressPoint=Stress_TOP;DrawPos=1;GraphType=折线图;LineColor=蓝,Name=底缘;ObjType=构件;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ObjName=ALL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;StageType=运营阶段;ActionType=组合工况;ActionName=</w:t>
      </w:r>
      <w:r>
        <w:rPr>
          <w:rFonts w:hint="eastAsia" w:ascii="宋体" w:hAnsi="宋体" w:eastAsia="宋体" w:cs="宋体"/>
          <w:sz w:val="21"/>
          <w:szCs w:val="21"/>
        </w:rPr>
        <w:t>03b 频遇组合-现浇全预应力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;EffectType=主材弹性应力;EffectIndex=sigmaX;MaxIndex=MIN_SIGMA_X;UnitScale=1e-6;SectionNum=SecName;StressPoint=Stress_BOT;DrawPos=-1;LineColor=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红,</w:t>
      </w:r>
      <w:r>
        <w:rPr>
          <w:rFonts w:hint="eastAsia" w:ascii="宋体" w:hAnsi="宋体"/>
          <w:color w:val="0000FF"/>
          <w:sz w:val="21"/>
          <w:szCs w:val="21"/>
        </w:rPr>
        <w:t>ActionName=</w:t>
      </w:r>
      <w:r>
        <w:rPr>
          <w:rFonts w:hint="eastAsia" w:ascii="宋体" w:hAnsi="宋体" w:eastAsia="宋体" w:cs="宋体"/>
          <w:sz w:val="21"/>
          <w:szCs w:val="21"/>
        </w:rPr>
        <w:t>03b 频遇组合-现浇全预应力</w:t>
      </w:r>
      <w:r>
        <w:rPr>
          <w:rFonts w:hint="eastAsia" w:ascii="宋体" w:hAnsi="宋体"/>
          <w:color w:val="0000FF"/>
          <w:sz w:val="21"/>
          <w:szCs w:val="21"/>
        </w:rPr>
        <w:t>;ActionType=组合工况;EffectIndex=MINAL_σx;EffectSType=全量;EffectType=主材弹性应力;LineColor=192_192_192;MaxIndex=Minσx;Name=上缘[σmin];ObjName=梁1;ObjType=构件;SectionType=左截面;StageType=运营阶段;SteelStress=true;StressPoint=TOP,ActionName=</w:t>
      </w:r>
      <w:r>
        <w:rPr>
          <w:rFonts w:hint="eastAsia" w:ascii="宋体" w:hAnsi="宋体" w:eastAsia="宋体" w:cs="宋体"/>
          <w:sz w:val="21"/>
          <w:szCs w:val="21"/>
        </w:rPr>
        <w:t>03b 频遇组合-现浇全预应力</w:t>
      </w:r>
      <w:r>
        <w:rPr>
          <w:rFonts w:hint="eastAsia" w:ascii="宋体" w:hAnsi="宋体"/>
          <w:color w:val="0000FF"/>
          <w:sz w:val="21"/>
          <w:szCs w:val="21"/>
        </w:rPr>
        <w:t>;ActionType=组合工况;DrawPos=-1;EffectIndex=MINAL_σx;EffectSType=全量;EffectType=主材弹性应力;LineColor=192_192_192;MaxIndex=Minσx;Name=下缘[σmin];ObjName=梁1;ObjType=构件;SectionType=左截面;StageType=运营阶段;SteelStress=true;StressPoint=BOT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频遇组合截面顶缘、底缘拉应力图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bookmarkStart w:id="24" w:name="_Toc437874206"/>
      <w:r>
        <w:rPr>
          <w:rFonts w:hint="eastAsia" w:ascii="宋体" w:hAnsi="宋体" w:eastAsia="宋体" w:cs="宋体"/>
          <w:sz w:val="21"/>
          <w:szCs w:val="21"/>
        </w:rPr>
        <w:t>从上图可知，底缘正应力最小值为[SUZ(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 w:eastAsia="宋体" w:cs="宋体"/>
          <w:sz w:val="21"/>
          <w:szCs w:val="21"/>
        </w:rPr>
        <w:t>,L,03b 频遇组合-现浇全预应力,MIN_SIGMA_X,SecName,Stress_BOT).sigmaX]MPa，顶缘正应力最小值为[SUZ(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 w:eastAsia="宋体" w:cs="宋体"/>
          <w:sz w:val="21"/>
          <w:szCs w:val="21"/>
        </w:rPr>
        <w:t>,L,03b 频遇组合-现浇全预应力,MIN_SIGMA_X,SecName,Stress_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TOP</w:t>
      </w:r>
      <w:r>
        <w:rPr>
          <w:rFonts w:hint="eastAsia" w:ascii="宋体" w:hAnsi="宋体" w:eastAsia="宋体" w:cs="宋体"/>
          <w:sz w:val="21"/>
          <w:szCs w:val="21"/>
        </w:rPr>
        <w:t>).sigmaX]MPa，顶底缘应力验算结果均小于规范允许值[SUZ(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,L,03b 频遇组合-现浇全预应力,MIN_SIGMA_X,SecName,Stress_TOP).sigmaX_min]MPa，满足规范设计要求。</w:t>
      </w:r>
    </w:p>
    <w:bookmarkEnd w:id="24"/>
    <w:p>
      <w:pPr>
        <w:pStyle w:val="4"/>
        <w:numPr>
          <w:ilvl w:val="2"/>
          <w:numId w:val="1"/>
        </w:numPr>
        <w:bidi w:val="0"/>
      </w:pPr>
      <w:bookmarkStart w:id="25" w:name="_Toc437874207"/>
      <w:bookmarkStart w:id="26" w:name="_Toc54688565"/>
      <w:r>
        <w:t>斜截面抗裂验算</w:t>
      </w:r>
      <w:bookmarkEnd w:id="25"/>
      <w:bookmarkEnd w:id="26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根据《公路钢筋混凝土及预应力混凝土桥涵设计规范》(JTG3362-2018)第6.3.1条第2款规定，斜截面抗裂应对构件斜截面混凝土的主拉应力进行验算，并应符合下列要求：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≤0.6f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现场浇筑(包括预制拼装)构件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≤0.4f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A类和B类预应力混凝土构件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现场浇筑(包括预制拼装)构件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 w:ascii="宋体" w:hAnsi="宋体" w:eastAsia="宋体" w:cs="宋体"/>
          <w:sz w:val="21"/>
          <w:szCs w:val="21"/>
        </w:rPr>
        <w:t>Comb_03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;ActionType=组合工况;EffectIndex=拉;EffectSType=全量;EffectType=主材主应力;GraphType=折线图;LineColor=蓝;Name=主拉应力σtp;SectionNum=SecName;ObjName=ALL;ObjType=构件;SectionType=左截面;StageType=运营阶段;StressPoint=ALL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 w:ascii="宋体" w:hAnsi="宋体" w:eastAsia="宋体" w:cs="宋体"/>
          <w:sz w:val="21"/>
          <w:szCs w:val="21"/>
        </w:rPr>
        <w:t>Comb_03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;ActionType=组合工况;EffectIndex=MINAL_拉;EffectSType=全量;EffectType=主材主应力;LineColor=192_192_192;Name=容许值[σtp];ObjName=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;ObjType=构件;SectionType=左截面;StageType=运营阶段;SteelStress=true;StressPoint=ALL)$]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频遇组合截面主拉应力图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27" w:name="_Toc437874208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上图可知，主应力最小值为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 SecName,ALL).t]</w:t>
      </w:r>
      <w:r>
        <w:rPr>
          <w:rFonts w:ascii="宋体" w:hAnsi="宋体"/>
          <w:sz w:val="21"/>
          <w:szCs w:val="21"/>
        </w:rPr>
        <w:t>MPa，验算结果均小于规范允许值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 SecName,ALL).t_min]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28" w:name="_Toc54688566"/>
      <w:r>
        <w:t>挠度验算</w:t>
      </w:r>
      <w:bookmarkEnd w:id="27"/>
      <w:bookmarkEnd w:id="28"/>
    </w:p>
    <w:p>
      <w:pPr>
        <w:spacing w:line="360" w:lineRule="auto"/>
        <w:ind w:firstLine="420" w:firstLineChars="200"/>
        <w:rPr>
          <w:rFonts w:ascii="Candara" w:hAnsi="Candara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照《公路钢筋混凝土及预应力混凝土桥涵设计规范》(JTG3362-2018)第6.5.3条规定，受弯构件在使用阶段的挠度应考虑荷载长期效应的影响。消除结构自重产生的长期挠度后，主梁的最大挠度不应超过计算跨径的1/600。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03c 频遇组合-挠度验算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;ActionType=组合工况;EffectIndex=Dz;EffectSType=全量;EffectType=活载挠度;GraphType=折线图;LineColor=红;MaxIndex=MaxDz;Name=活载最大竖向位移;ObjName=ALL;ObjType=构件;SectionType=左截面;StageType=运营阶段,ActionName=</w:t>
      </w:r>
      <w:r>
        <w:rPr>
          <w:rFonts w:hint="eastAsia"/>
          <w:sz w:val="21"/>
          <w:szCs w:val="21"/>
        </w:rPr>
        <w:t>03c 频遇组合-挠度验算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;ActionType=组合工况;EffectIndex=Dz;EffectSType=全量;EffectType=活载挠度;LineColor=蓝;MaxIndex=MinDz;Name=活载最小竖向位移;ObjName=ALL;ObjType=构件;SectionType=左截面;StageType=运营阶段)$]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活载最大最小位移频遇值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从上图可知，挠度最大值[DEZ(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 w:eastAsia="宋体" w:cs="宋体"/>
          <w:sz w:val="21"/>
          <w:szCs w:val="21"/>
        </w:rPr>
        <w:t>,L, 03c 频遇组合-挠度验算, MinDz).Dz]mm，验算结果均小于规范允许值L/600=50mm，满足规范设计要求。</w:t>
      </w:r>
    </w:p>
    <w:p>
      <w:pPr>
        <w:pStyle w:val="3"/>
        <w:numPr>
          <w:ilvl w:val="1"/>
          <w:numId w:val="1"/>
        </w:numPr>
        <w:bidi w:val="0"/>
      </w:pPr>
      <w:bookmarkStart w:id="29" w:name="_Toc54688567"/>
      <w:r>
        <w:t>持久状况构件应力计算</w:t>
      </w:r>
      <w:bookmarkEnd w:id="29"/>
    </w:p>
    <w:p>
      <w:pPr>
        <w:pStyle w:val="4"/>
        <w:numPr>
          <w:ilvl w:val="2"/>
          <w:numId w:val="1"/>
        </w:numPr>
        <w:bidi w:val="0"/>
      </w:pPr>
      <w:bookmarkStart w:id="30" w:name="_Toc54688568"/>
      <w:bookmarkStart w:id="31" w:name="_Toc437874212"/>
      <w:r>
        <w:t>混凝土法向应力</w:t>
      </w:r>
      <w:bookmarkEnd w:id="30"/>
      <w:bookmarkEnd w:id="31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根据《公路钢筋混凝土及预应力混凝土桥涵设计规范》(JTG3362-2018)第7.1.5条第1款规定，使用阶段预应力混凝土受弯构件正截面混凝土的最大压应力，应符合下列规定：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未开裂构件            σ</w:t>
      </w:r>
      <w:r>
        <w:rPr>
          <w:rFonts w:hint="eastAsia" w:ascii="宋体" w:hAnsi="宋体"/>
          <w:sz w:val="21"/>
          <w:szCs w:val="21"/>
          <w:vertAlign w:val="subscript"/>
        </w:rPr>
        <w:t>kc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pt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允许开裂构件          σ</w:t>
      </w:r>
      <w:r>
        <w:rPr>
          <w:rFonts w:hint="eastAsia" w:ascii="宋体" w:hAnsi="宋体"/>
          <w:sz w:val="21"/>
          <w:szCs w:val="21"/>
          <w:vertAlign w:val="subscript"/>
        </w:rPr>
        <w:t>cc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jc w:val="center"/>
        <w:rPr>
          <w:color w:val="0000FF"/>
          <w:sz w:val="21"/>
          <w:szCs w:val="21"/>
        </w:rPr>
      </w:pPr>
      <w:r>
        <w:rPr>
          <w:rFonts w:ascii="Candara" w:hAnsi="Candara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Candara" w:hAnsi="Candara"/>
          <w:color w:val="0000FF"/>
          <w:sz w:val="21"/>
          <w:szCs w:val="21"/>
          <w:lang w:val="en-US" w:eastAsia="zh-CN"/>
        </w:rPr>
        <w:t>GlobalShow=容许值显示;</w:t>
      </w:r>
      <w:r>
        <w:rPr>
          <w:rFonts w:hint="eastAsia" w:ascii="Candara" w:hAnsi="Candara" w:eastAsia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Name=顶缘;</w:t>
      </w:r>
      <w:r>
        <w:rPr>
          <w:rFonts w:ascii="Candara" w:hAnsi="Candara" w:eastAsia="Yu Mincho Demibold"/>
          <w:color w:val="0000FF"/>
          <w:sz w:val="21"/>
          <w:szCs w:val="21"/>
        </w:rPr>
        <w:t>ObjType=构件;</w:t>
      </w:r>
      <w:r>
        <w:rPr>
          <w:rFonts w:hint="eastAsia" w:ascii="Candara" w:hAnsi="Candara" w:eastAsia="宋体"/>
          <w:color w:val="0000FF"/>
          <w:sz w:val="21"/>
          <w:szCs w:val="21"/>
          <w:lang w:eastAsia="zh-CN"/>
        </w:rPr>
        <w:t>ObjName=ALL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;StageType=运营阶段; ActionType=组合工况;ActionName= </w:t>
      </w:r>
      <w:r>
        <w:rPr>
          <w:rFonts w:hint="eastAsia"/>
          <w:sz w:val="21"/>
          <w:szCs w:val="21"/>
        </w:rPr>
        <w:t>Comb_050</w:t>
      </w:r>
      <w:r>
        <w:rPr>
          <w:rFonts w:ascii="Candara" w:hAnsi="Candara" w:eastAsia="Yu Mincho Demibold"/>
          <w:color w:val="0000FF"/>
          <w:sz w:val="21"/>
          <w:szCs w:val="21"/>
        </w:rPr>
        <w:t>;EffectType=主材弹性应力;EffectIndex=sigmaX;MaxIndex=M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AX</w:t>
      </w:r>
      <w:r>
        <w:rPr>
          <w:rFonts w:ascii="Candara" w:hAnsi="Candara" w:eastAsia="Yu Mincho Demibold"/>
          <w:color w:val="0000FF"/>
          <w:sz w:val="21"/>
          <w:szCs w:val="21"/>
        </w:rPr>
        <w:t>_SIGMA_X; UnitScale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=1e-6;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SectionNum 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=SecName;</w:t>
      </w:r>
      <w:r>
        <w:rPr>
          <w:rFonts w:ascii="Candara" w:hAnsi="Candara" w:eastAsia="Yu Mincho Demibold"/>
          <w:color w:val="0000FF"/>
          <w:sz w:val="21"/>
          <w:szCs w:val="21"/>
        </w:rPr>
        <w:t>StressPoint=Stress_TOP;DrawPos=1;GraphType=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折线图; LineColor=蓝</w:t>
      </w:r>
      <w:r>
        <w:rPr>
          <w:rFonts w:ascii="Candara" w:hAnsi="Candara" w:eastAsia="Yu Mincho Demibold"/>
          <w:color w:val="0000FF"/>
          <w:sz w:val="21"/>
          <w:szCs w:val="21"/>
        </w:rPr>
        <w:t>,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 xml:space="preserve"> </w:t>
      </w:r>
      <w:bookmarkStart w:id="40" w:name="_GoBack"/>
      <w:bookmarkEnd w:id="40"/>
      <w:r>
        <w:rPr>
          <w:rFonts w:hint="eastAsia" w:ascii="Candara" w:hAnsi="Candara" w:eastAsia="Yu Mincho Demibold"/>
          <w:color w:val="0000FF"/>
          <w:sz w:val="21"/>
          <w:szCs w:val="21"/>
        </w:rPr>
        <w:t>Name=底缘;</w:t>
      </w:r>
      <w:r>
        <w:rPr>
          <w:rFonts w:ascii="Candara" w:hAnsi="Candara" w:eastAsia="Yu Mincho Demibold"/>
          <w:color w:val="0000FF"/>
          <w:sz w:val="21"/>
          <w:szCs w:val="21"/>
        </w:rPr>
        <w:t>ObjType=构件;</w:t>
      </w:r>
      <w:r>
        <w:rPr>
          <w:rFonts w:hint="eastAsia" w:ascii="Candara" w:hAnsi="Candara" w:eastAsia="宋体"/>
          <w:color w:val="0000FF"/>
          <w:sz w:val="21"/>
          <w:szCs w:val="21"/>
          <w:lang w:eastAsia="zh-CN"/>
        </w:rPr>
        <w:t>ObjName=ALL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;StageType=运营阶段;ActionType=组合工况;ActionName= </w:t>
      </w:r>
      <w:r>
        <w:rPr>
          <w:rFonts w:hint="eastAsia"/>
          <w:sz w:val="21"/>
          <w:szCs w:val="21"/>
        </w:rPr>
        <w:t>Comb_050</w:t>
      </w:r>
      <w:r>
        <w:rPr>
          <w:rFonts w:ascii="Candara" w:hAnsi="Candara" w:eastAsia="Yu Mincho Demibold"/>
          <w:color w:val="0000FF"/>
          <w:sz w:val="21"/>
          <w:szCs w:val="21"/>
        </w:rPr>
        <w:t>;EffectType=主材弹性应力;EffectIndex=sigmaX;MaxIndex=M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AX</w:t>
      </w:r>
      <w:r>
        <w:rPr>
          <w:rFonts w:ascii="Candara" w:hAnsi="Candara" w:eastAsia="Yu Mincho Demibold"/>
          <w:color w:val="0000FF"/>
          <w:sz w:val="21"/>
          <w:szCs w:val="21"/>
        </w:rPr>
        <w:t>_SIGMA_X; UnitScale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=1e-6;</w:t>
      </w:r>
      <w:r>
        <w:rPr>
          <w:rFonts w:ascii="Candara" w:hAnsi="Candara" w:eastAsia="Yu Mincho Demibold"/>
          <w:color w:val="0000FF"/>
          <w:sz w:val="21"/>
          <w:szCs w:val="21"/>
        </w:rPr>
        <w:t xml:space="preserve">SectionNum 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=SecName;</w:t>
      </w:r>
      <w:r>
        <w:rPr>
          <w:rFonts w:ascii="Candara" w:hAnsi="Candara" w:eastAsia="Yu Mincho Demibold"/>
          <w:color w:val="0000FF"/>
          <w:sz w:val="21"/>
          <w:szCs w:val="21"/>
        </w:rPr>
        <w:t>StressPoint=Stre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ss</w:t>
      </w:r>
      <w:r>
        <w:rPr>
          <w:rFonts w:ascii="Candara" w:hAnsi="Candara" w:eastAsia="Yu Mincho Demibold"/>
          <w:color w:val="0000FF"/>
          <w:sz w:val="21"/>
          <w:szCs w:val="21"/>
        </w:rPr>
        <w:t>_BOT;DrawPos=-1</w:t>
      </w:r>
      <w:r>
        <w:rPr>
          <w:rFonts w:hint="eastAsia" w:ascii="Candara" w:hAnsi="Candara" w:eastAsia="Yu Mincho Demibold"/>
          <w:color w:val="0000FF"/>
          <w:sz w:val="21"/>
          <w:szCs w:val="21"/>
        </w:rPr>
        <w:t>; LineColor=</w:t>
      </w:r>
      <w:r>
        <w:rPr>
          <w:rFonts w:hint="eastAsia" w:ascii="Candara" w:hAnsi="Candara" w:eastAsia="宋体"/>
          <w:color w:val="0000FF"/>
          <w:sz w:val="21"/>
          <w:szCs w:val="21"/>
          <w:lang w:val="en-US" w:eastAsia="zh-CN"/>
        </w:rPr>
        <w:t>红,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05 标准值组合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;ActionType=组合工况;EffectIndex=MAXAL_σx;EffectSType=全量;EffectType=主材弹性应力;LineColor=192_192_192;MaxIndex=Maxσx;Name=上缘[σmax];ObjName=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;ObjType=构件;SectionType=左截面;StageType=运营阶段;SteelStress=true;StressPoint=TOP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05 标准值组合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;ActionType=组合工况;DrawPos=-1;EffectIndex=MAXAL_σx;EffectSType=全量;EffectType=主材弹性应力;LineColor=192_192_192;MaxIndex=Maxσx;Name=下缘[σmax];ObjName=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;ObjType=构件;SectionType=左截面;StageType=运营阶段;SteelStress=true;StressPoint=BOT</w:t>
      </w:r>
      <w:r>
        <w:rPr>
          <w:rFonts w:ascii="Candara" w:hAnsi="Candara"/>
          <w:color w:val="0000FF"/>
          <w:sz w:val="21"/>
          <w:szCs w:val="21"/>
        </w:rPr>
        <w:t>)$]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标准组合截面顶缘、底缘压应力图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32" w:name="_Toc437874213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上图可知，底缘压应力最大值为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,L,Comb_050,MAX_SIGMA_X,SecName,Stress_BOT).sigmaX]</w:t>
      </w:r>
      <w:r>
        <w:rPr>
          <w:rFonts w:ascii="宋体" w:hAnsi="宋体"/>
          <w:sz w:val="21"/>
          <w:szCs w:val="21"/>
        </w:rPr>
        <w:t>MPa，顶缘压应力最大值为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,L,Comb_050,MAX_SIGMA_X,SecName,Stress_TOP).sigmaX]</w:t>
      </w:r>
      <w:r>
        <w:rPr>
          <w:rFonts w:ascii="宋体" w:hAnsi="宋体"/>
          <w:sz w:val="21"/>
          <w:szCs w:val="21"/>
        </w:rPr>
        <w:t>MPa，顶底缘验算结果均小于规范允许值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1</w:t>
      </w:r>
      <w:r>
        <w:rPr>
          <w:rFonts w:hint="eastAsia" w:ascii="宋体" w:hAnsi="宋体"/>
          <w:sz w:val="21"/>
          <w:szCs w:val="21"/>
        </w:rPr>
        <w:t>,L,Comb_050,MAX_SIGMA_X,SecName,Stress_TOP).sigmaX_max]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33" w:name="_Toc54688569"/>
      <w:r>
        <w:t>混凝土主应力</w:t>
      </w:r>
      <w:bookmarkEnd w:id="32"/>
      <w:bookmarkEnd w:id="33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根据《公路钢筋混凝土及预应力混凝土桥涵设计规范》(JTG3362-2018)第7.1.6条规定，使用阶段预应力混凝土受弯构件混凝土的主压应力应符合下列规定：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σ</w:t>
      </w:r>
      <w:r>
        <w:rPr>
          <w:rFonts w:hint="eastAsia" w:ascii="宋体" w:hAnsi="宋体"/>
          <w:sz w:val="21"/>
          <w:szCs w:val="21"/>
          <w:vertAlign w:val="subscript"/>
        </w:rPr>
        <w:t>cp</w:t>
      </w:r>
      <w:r>
        <w:rPr>
          <w:rFonts w:hint="eastAsia" w:ascii="宋体" w:hAnsi="宋体"/>
          <w:sz w:val="21"/>
          <w:szCs w:val="21"/>
        </w:rPr>
        <w:t>≤0.6f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Comb_050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;ActionType=组合工况;EffectIndex=压;EffectSType=全量;EffectType=主材主应力;GraphType=折线图;LineColor=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蓝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;Name=主压应力σcp;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ObjName=ALL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;ObjType=构件;SectionType=左截面;StageType=运营阶段;StressPoint=ALL; SectionNum= SecName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</w:t>
      </w:r>
      <w:r>
        <w:rPr>
          <w:rFonts w:hint="eastAsia"/>
          <w:sz w:val="21"/>
          <w:szCs w:val="21"/>
        </w:rPr>
        <w:t>Comb_050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;ActionType=组合工况;EffectIndex=MAXAL_压;EffectSType=全量;EffectType=主材主应力;LineColor=192_192_192;Name=容许值[σcp];ObjName=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ALL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;ObjType=构件;SectionType=左截面;StageType=运营阶段;SteelStress=true;StressPoint=ALL)$]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标准组合截面主压应力图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bookmarkStart w:id="34" w:name="_Toc437874214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上图可知，最大值主压应力为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 SecName,ALL).c]</w:t>
      </w:r>
      <w:r>
        <w:rPr>
          <w:rFonts w:ascii="宋体" w:hAnsi="宋体"/>
          <w:sz w:val="21"/>
          <w:szCs w:val="21"/>
        </w:rPr>
        <w:t>MPa，验算结果均小于规范允许值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 SecName,ALL).c_max]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35" w:name="_Toc54688570"/>
      <w:r>
        <w:t>预应力钢筋应力</w:t>
      </w:r>
      <w:bookmarkEnd w:id="34"/>
      <w:bookmarkEnd w:id="35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根据《公路钢筋混凝土及预应力混凝土桥涵设计规范》(JTG3362-2018)第7.1.5条第2款规定，使用阶段预应力混凝土受弯构件预应力钢筋的最大拉应力，应符合下列规定：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未开裂构件            σ</w:t>
      </w:r>
      <w:r>
        <w:rPr>
          <w:rFonts w:hint="eastAsia" w:ascii="宋体" w:hAnsi="宋体"/>
          <w:sz w:val="21"/>
          <w:szCs w:val="21"/>
          <w:vertAlign w:val="subscript"/>
        </w:rPr>
        <w:t>pe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</w:t>
      </w:r>
      <w:r>
        <w:rPr>
          <w:rFonts w:hint="eastAsia" w:ascii="宋体" w:hAnsi="宋体"/>
          <w:sz w:val="21"/>
          <w:szCs w:val="21"/>
        </w:rPr>
        <w:t>≤0.65f</w:t>
      </w:r>
      <w:r>
        <w:rPr>
          <w:rFonts w:hint="eastAsia" w:ascii="宋体" w:hAnsi="宋体"/>
          <w:sz w:val="21"/>
          <w:szCs w:val="21"/>
          <w:vertAlign w:val="subscript"/>
        </w:rPr>
        <w:t>pk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  <w:vertAlign w:val="subscript"/>
        </w:rPr>
      </w:pPr>
      <w:r>
        <w:rPr>
          <w:rFonts w:hint="eastAsia" w:ascii="宋体" w:hAnsi="宋体"/>
          <w:sz w:val="21"/>
          <w:szCs w:val="21"/>
        </w:rPr>
        <w:t>允许开裂构件          σ</w:t>
      </w:r>
      <w:r>
        <w:rPr>
          <w:rFonts w:hint="eastAsia" w:ascii="宋体" w:hAnsi="宋体"/>
          <w:sz w:val="21"/>
          <w:szCs w:val="21"/>
          <w:vertAlign w:val="subscript"/>
        </w:rPr>
        <w:t>p0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</w:t>
      </w:r>
      <w:r>
        <w:rPr>
          <w:rFonts w:hint="eastAsia" w:ascii="宋体" w:hAnsi="宋体"/>
          <w:sz w:val="21"/>
          <w:szCs w:val="21"/>
        </w:rPr>
        <w:t>≤0.65f</w:t>
      </w:r>
      <w:r>
        <w:rPr>
          <w:rFonts w:hint="eastAsia" w:ascii="宋体" w:hAnsi="宋体"/>
          <w:sz w:val="21"/>
          <w:szCs w:val="21"/>
          <w:vertAlign w:val="subscript"/>
        </w:rPr>
        <w:t>pk</w:t>
      </w:r>
    </w:p>
    <w:p>
      <w:pPr>
        <w:spacing w:line="360" w:lineRule="auto"/>
        <w:rPr>
          <w:rFonts w:hint="eastAsia" w:ascii="宋体" w:hAnsi="宋体"/>
          <w:sz w:val="21"/>
          <w:szCs w:val="21"/>
          <w:vertAlign w:val="subscript"/>
        </w:rPr>
      </w:pPr>
    </w:p>
    <w:tbl>
      <w:tblPr>
        <w:tblStyle w:val="16"/>
        <w:tblW w:w="6811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588"/>
        <w:gridCol w:w="1589"/>
        <w:gridCol w:w="1776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681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43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运营阶段钢束拉应力验算表格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钢束号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钢束应力</w:t>
            </w:r>
          </w:p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容许值</w:t>
            </w:r>
          </w:p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[ISTEEL(&amp;iT(运营阶段,0,ALL)&amp;).Num]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[UTST(iT,Comb_050).sgm]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[UTST(iT,Comb_050).sgm_min]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[UTST(iT,Comb_050).bsgm_OK]</w:t>
            </w:r>
          </w:p>
        </w:tc>
      </w:tr>
    </w:tbl>
    <w:p>
      <w:pPr>
        <w:spacing w:before="156" w:beforeLines="50" w:after="156" w:afterLines="50"/>
        <w:jc w:val="center"/>
        <w:rPr>
          <w:rFonts w:ascii="宋体" w:hAnsi="宋体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36" w:name="_Toc54688571"/>
      <w:r>
        <w:t>抗倾覆计算</w:t>
      </w:r>
      <w:bookmarkEnd w:id="36"/>
    </w:p>
    <w:p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按照《公路钢筋混凝土及预应力混凝土桥涵设计规范》(JTG3362-2018)第</w:t>
      </w:r>
      <w:r>
        <w:rPr>
          <w:rFonts w:ascii="宋体" w:hAnsi="宋体"/>
          <w:sz w:val="21"/>
          <w:szCs w:val="21"/>
        </w:rPr>
        <w:t>4.1.8</w:t>
      </w:r>
      <w:r>
        <w:rPr>
          <w:rFonts w:hint="eastAsia" w:ascii="宋体" w:hAnsi="宋体"/>
          <w:sz w:val="21"/>
          <w:szCs w:val="21"/>
        </w:rPr>
        <w:t>条规定，构件在运营期间应满足稳定性要求。本桥需进行抗倾覆验算。</w:t>
      </w:r>
    </w:p>
    <w:p>
      <w:pPr>
        <w:pStyle w:val="4"/>
        <w:numPr>
          <w:ilvl w:val="2"/>
          <w:numId w:val="1"/>
        </w:numPr>
        <w:bidi w:val="0"/>
        <w:rPr>
          <w:lang w:val="en-US" w:eastAsia="zh-CN"/>
        </w:rPr>
      </w:pPr>
      <w:bookmarkStart w:id="37" w:name="_Toc54688572"/>
      <w:r>
        <w:t>支座脱空验算</w:t>
      </w:r>
      <w:bookmarkEnd w:id="37"/>
    </w:p>
    <w:tbl>
      <w:tblPr>
        <w:tblStyle w:val="16"/>
        <w:tblW w:w="6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953"/>
        <w:gridCol w:w="1589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6150" w:type="dxa"/>
            <w:gridSpan w:val="4"/>
            <w:tcBorders>
              <w:top w:val="nil"/>
              <w:left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支座脱空验算表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493" w:type="dxa"/>
            <w:tcBorders>
              <w:tl2br w:val="nil"/>
              <w:tr2bl w:val="nil"/>
            </w:tcBorders>
            <w:vAlign w:val="center"/>
          </w:tcPr>
          <w:p>
            <w:pPr>
              <w:pStyle w:val="434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支座名称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基本组合</w:t>
            </w:r>
          </w:p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最小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支反力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(kN)</w:t>
            </w:r>
          </w:p>
        </w:tc>
        <w:tc>
          <w:tcPr>
            <w:tcW w:w="158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支反力容许值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(kN)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eastAsia="宋体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asciiTheme="minorEastAsia" w:hAnsiTheme="minorEastAsia"/>
                <w:sz w:val="21"/>
                <w:szCs w:val="21"/>
                <w:lang w:val="en-US" w:eastAsia="zh-CN"/>
              </w:rPr>
              <w:t>是否满足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93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[ISUPPORT(&amp;iR(运营阶段,0,ALL)&amp;).Name]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Comb_050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,MIN_FZ).fZ]</w:t>
            </w:r>
          </w:p>
        </w:tc>
        <w:tc>
          <w:tcPr>
            <w:tcW w:w="1589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≥0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vAlign w:val="top"/>
          </w:tcPr>
          <w:p>
            <w:pPr>
              <w:pStyle w:val="20"/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[TKXSU(iR).反力值_ok]</w:t>
            </w:r>
          </w:p>
        </w:tc>
      </w:tr>
    </w:tbl>
    <w:p>
      <w:pPr>
        <w:rPr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由上表可知，各支座均未出现负反力，支座脱空验算满足规范要求。</w:t>
      </w:r>
    </w:p>
    <w:p>
      <w:pPr>
        <w:pStyle w:val="4"/>
        <w:numPr>
          <w:ilvl w:val="2"/>
          <w:numId w:val="1"/>
        </w:numPr>
        <w:bidi w:val="0"/>
      </w:pPr>
      <w:bookmarkStart w:id="38" w:name="_Toc54688573"/>
      <w:r>
        <w:rPr>
          <w:rFonts w:hint="eastAsia"/>
        </w:rPr>
        <w:t>主梁抗倾覆验算</w:t>
      </w:r>
      <w:bookmarkEnd w:id="38"/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在标准组合下，对主梁的倾覆弯矩及抗倾覆弯矩进行计算，结果如下，由表可知，主梁抗倾覆验算满足规范要求。</w:t>
      </w:r>
    </w:p>
    <w:tbl>
      <w:tblPr>
        <w:tblStyle w:val="17"/>
        <w:tblW w:w="0" w:type="auto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10"/>
        <w:gridCol w:w="827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抗倾覆验算表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墩号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[CONMN(~iPIERAX~)]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倾覆轴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[CONMN(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iPIERAX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).0]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(编号)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[ISUPPORT(~iCOVR(iPIERAX)~,Num).Name]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(m)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[OverReturn(iCOVR,iPIERAX,L).Space]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[OverReturn(iCOVR,iPIERAX,iROVR,stable,L).ReactForce]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[ISUPPORT(^iROVR(iPIERAX,instable,L)^,Num).Name]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[ISUPPORT(^iROVR(iPIERAX,stsble,L)^,Num).Name]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[OverReturn(iCOVR,iPIERAX,iROVR,stable,L).Force]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[ISUPPORT(^iROVR(iPIERAX,instable,L)^,Num).Name]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[OverReturn(iCOVR,iPIERAX,L).Factor]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,ENOB(1)}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[OverReturn(iCOVR,iPIERAX,L).bPass]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Ift?</w:t>
      </w:r>
      <w:r>
        <w:rPr>
          <w:rFonts w:hint="eastAsia" w:ascii="宋体" w:hAnsi="宋体" w:eastAsia="宋体" w:cs="宋体"/>
          <w:kern w:val="0"/>
          <w:sz w:val="21"/>
          <w:szCs w:val="21"/>
        </w:rPr>
        <w:t>OPER_OVERRETURN_TYPE(最不利反力)</w:t>
      </w:r>
      <w:r>
        <w:rPr>
          <w:rFonts w:hint="eastAsia" w:ascii="宋体" w:hAnsi="宋体" w:eastAsia="宋体" w:cs="宋体"/>
          <w:sz w:val="21"/>
          <w:szCs w:val="21"/>
        </w:rPr>
        <w:t>?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Startloop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[CONMN(@iPIERAX@).1]号墩柱左倾倾覆验算表（倾覆轴[CONMN(iPIERAX).0]）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10"/>
        <w:gridCol w:w="10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(编号)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(m)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iPIERAX,L).Space]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[ISUPPORT(^iROVR(iPIERAX,stsble,L)^,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[CONMN(iPIERAX).1]号墩柱右倾倾覆验算表（倾覆轴[CONMN(iPIERAX).0]）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192"/>
        <w:gridCol w:w="1020"/>
        <w:gridCol w:w="10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iPIERAX,R).Space]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[ISUPPORT(^iROVR(iPIERAX,instalbe,R)^,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Endloop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endIft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Ift?</w:t>
      </w:r>
      <w:r>
        <w:rPr>
          <w:rFonts w:hint="eastAsia" w:ascii="宋体" w:hAnsi="宋体" w:eastAsia="宋体" w:cs="宋体"/>
          <w:kern w:val="0"/>
          <w:sz w:val="21"/>
          <w:szCs w:val="21"/>
        </w:rPr>
        <w:t>OPER_OVERRETURN_TYPE(最不利反力2)</w:t>
      </w:r>
      <w:r>
        <w:rPr>
          <w:rFonts w:hint="eastAsia" w:ascii="宋体" w:hAnsi="宋体" w:eastAsia="宋体" w:cs="宋体"/>
          <w:sz w:val="21"/>
          <w:szCs w:val="21"/>
        </w:rPr>
        <w:t>?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Startloop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[CONMN(@iPIERAX@).1]号墩柱左倾倾覆验算表（倾覆轴[CONMN(iPIERAX).0]）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20"/>
        <w:gridCol w:w="10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iPIERAX,L).Space]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永久作用标准值效应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[CONMN(iPIERAX).1]号墩柱右倾倾覆验算表（倾覆轴[CONMN(iPIERAX).0]）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34"/>
        <w:gridCol w:w="868"/>
        <w:gridCol w:w="1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iPIERAX,R).Space]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永久作用标准值效应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[ISUPPORT(^iROVR(iPIERAX,instable,R)^, Num).Name]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[ISUPPORT(^iROVR(iPIERAX,instalbe,R)^, Num).Name]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Endloop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endIft</w:t>
      </w:r>
    </w:p>
    <w:p>
      <w:pPr>
        <w:pStyle w:val="2"/>
        <w:numPr>
          <w:ilvl w:val="0"/>
          <w:numId w:val="1"/>
        </w:numPr>
        <w:bidi w:val="0"/>
      </w:pPr>
      <w:bookmarkStart w:id="39" w:name="_Toc54688574"/>
      <w:r>
        <w:t>结论</w:t>
      </w:r>
      <w:bookmarkEnd w:id="39"/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综上所述，主梁强度验算、应力验算、挠度验算及稳定验算等均满足规范要求。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Yu Mincho D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D251F"/>
    <w:multiLevelType w:val="multilevel"/>
    <w:tmpl w:val="743D251F"/>
    <w:lvl w:ilvl="0" w:tentative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 w:ascii="宋体" w:hAnsi="宋体" w:eastAsia="宋体"/>
        <w:sz w:val="30"/>
        <w:szCs w:val="30"/>
      </w:rPr>
    </w:lvl>
    <w:lvl w:ilvl="1" w:tentative="0">
      <w:start w:val="1"/>
      <w:numFmt w:val="decimal"/>
      <w:suff w:val="space"/>
      <w:lvlText w:val="%1.%2"/>
      <w:lvlJc w:val="left"/>
      <w:pPr>
        <w:ind w:left="992" w:hanging="567"/>
      </w:pPr>
      <w:rPr>
        <w:rFonts w:hint="eastAsia" w:ascii="宋体" w:hAnsi="宋体" w:eastAsia="宋体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1418" w:hanging="567"/>
      </w:pPr>
      <w:rPr>
        <w:rFonts w:hint="eastAsia" w:ascii="宋体" w:hAnsi="宋体" w:eastAsia="宋体"/>
        <w:sz w:val="24"/>
        <w:szCs w:val="24"/>
      </w:rPr>
    </w:lvl>
    <w:lvl w:ilvl="3" w:tentative="0">
      <w:start w:val="1"/>
      <w:numFmt w:val="decimal"/>
      <w:suff w:val="space"/>
      <w:lvlText w:val="%1.%2.%3.%4"/>
      <w:lvlJc w:val="left"/>
      <w:pPr>
        <w:ind w:left="1984" w:hanging="708"/>
      </w:pPr>
      <w:rPr>
        <w:rFonts w:hint="eastAsia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 w:ascii="宋体" w:hAnsi="宋体" w:eastAsia="宋体"/>
        <w:sz w:val="30"/>
        <w:szCs w:val="30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 w:ascii="宋体" w:hAnsi="宋体" w:eastAsia="宋体"/>
        <w:sz w:val="28"/>
        <w:szCs w:val="28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ascii="宋体" w:hAnsi="宋体" w:eastAsia="宋体"/>
        <w:sz w:val="24"/>
        <w:szCs w:val="24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ascii="宋体" w:hAnsi="宋体" w:eastAsia="宋体"/>
        <w:sz w:val="21"/>
        <w:szCs w:val="21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ascii="宋体" w:hAnsi="宋体" w:eastAsia="宋体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C0"/>
    <w:rsid w:val="000127AE"/>
    <w:rsid w:val="000245DF"/>
    <w:rsid w:val="00033556"/>
    <w:rsid w:val="00037455"/>
    <w:rsid w:val="0004519D"/>
    <w:rsid w:val="0006152E"/>
    <w:rsid w:val="0006513A"/>
    <w:rsid w:val="000777B7"/>
    <w:rsid w:val="00091F6B"/>
    <w:rsid w:val="000A7149"/>
    <w:rsid w:val="000E72A1"/>
    <w:rsid w:val="00135EAD"/>
    <w:rsid w:val="001A4F99"/>
    <w:rsid w:val="001C066E"/>
    <w:rsid w:val="001C28D9"/>
    <w:rsid w:val="001C4978"/>
    <w:rsid w:val="002272B8"/>
    <w:rsid w:val="00247C3E"/>
    <w:rsid w:val="002530D4"/>
    <w:rsid w:val="002579B6"/>
    <w:rsid w:val="0026390F"/>
    <w:rsid w:val="00287A70"/>
    <w:rsid w:val="002C069E"/>
    <w:rsid w:val="002D7E2D"/>
    <w:rsid w:val="002E710B"/>
    <w:rsid w:val="002F496D"/>
    <w:rsid w:val="0030137A"/>
    <w:rsid w:val="003054C1"/>
    <w:rsid w:val="00317E1D"/>
    <w:rsid w:val="003410D1"/>
    <w:rsid w:val="00347FB8"/>
    <w:rsid w:val="003603E0"/>
    <w:rsid w:val="003B566D"/>
    <w:rsid w:val="003B5919"/>
    <w:rsid w:val="003D21C6"/>
    <w:rsid w:val="003D34C7"/>
    <w:rsid w:val="003F7E1B"/>
    <w:rsid w:val="00424622"/>
    <w:rsid w:val="00446A02"/>
    <w:rsid w:val="004509E2"/>
    <w:rsid w:val="00464B5C"/>
    <w:rsid w:val="004744C0"/>
    <w:rsid w:val="004C7FB3"/>
    <w:rsid w:val="004E3068"/>
    <w:rsid w:val="00511608"/>
    <w:rsid w:val="00515CD0"/>
    <w:rsid w:val="00523798"/>
    <w:rsid w:val="005C2113"/>
    <w:rsid w:val="005C3487"/>
    <w:rsid w:val="005D3D60"/>
    <w:rsid w:val="00601E65"/>
    <w:rsid w:val="00607721"/>
    <w:rsid w:val="00624492"/>
    <w:rsid w:val="00630161"/>
    <w:rsid w:val="00630D91"/>
    <w:rsid w:val="006E791C"/>
    <w:rsid w:val="0071198A"/>
    <w:rsid w:val="00711FB1"/>
    <w:rsid w:val="00724501"/>
    <w:rsid w:val="00732BDD"/>
    <w:rsid w:val="0076015F"/>
    <w:rsid w:val="00763A59"/>
    <w:rsid w:val="00775FC2"/>
    <w:rsid w:val="007950C3"/>
    <w:rsid w:val="007E1097"/>
    <w:rsid w:val="007E17F5"/>
    <w:rsid w:val="00841D31"/>
    <w:rsid w:val="008B44FE"/>
    <w:rsid w:val="008B771F"/>
    <w:rsid w:val="008E3E39"/>
    <w:rsid w:val="00910B8E"/>
    <w:rsid w:val="00924CA9"/>
    <w:rsid w:val="00933246"/>
    <w:rsid w:val="00943E54"/>
    <w:rsid w:val="00953DB2"/>
    <w:rsid w:val="00983D3D"/>
    <w:rsid w:val="00991646"/>
    <w:rsid w:val="00997D7A"/>
    <w:rsid w:val="009B5155"/>
    <w:rsid w:val="009C0E12"/>
    <w:rsid w:val="009C6667"/>
    <w:rsid w:val="009C69B0"/>
    <w:rsid w:val="009E1FD7"/>
    <w:rsid w:val="00A20A03"/>
    <w:rsid w:val="00A22262"/>
    <w:rsid w:val="00A277DB"/>
    <w:rsid w:val="00A356EC"/>
    <w:rsid w:val="00A4242B"/>
    <w:rsid w:val="00A754EA"/>
    <w:rsid w:val="00AD39DF"/>
    <w:rsid w:val="00B273C3"/>
    <w:rsid w:val="00B3757F"/>
    <w:rsid w:val="00B44702"/>
    <w:rsid w:val="00B55A66"/>
    <w:rsid w:val="00B80E49"/>
    <w:rsid w:val="00B86FBF"/>
    <w:rsid w:val="00B93AAA"/>
    <w:rsid w:val="00C14A61"/>
    <w:rsid w:val="00C23656"/>
    <w:rsid w:val="00C24031"/>
    <w:rsid w:val="00C43AE5"/>
    <w:rsid w:val="00C465EF"/>
    <w:rsid w:val="00C639FA"/>
    <w:rsid w:val="00D952FB"/>
    <w:rsid w:val="00D96895"/>
    <w:rsid w:val="00DA0418"/>
    <w:rsid w:val="00DA66E6"/>
    <w:rsid w:val="00DD0F0F"/>
    <w:rsid w:val="00DD3174"/>
    <w:rsid w:val="00DE4A71"/>
    <w:rsid w:val="00E31985"/>
    <w:rsid w:val="00E35EC1"/>
    <w:rsid w:val="00E66778"/>
    <w:rsid w:val="00E85831"/>
    <w:rsid w:val="00E9161A"/>
    <w:rsid w:val="00EA1470"/>
    <w:rsid w:val="00EA5061"/>
    <w:rsid w:val="00EB26CC"/>
    <w:rsid w:val="00EE0998"/>
    <w:rsid w:val="00EF3B48"/>
    <w:rsid w:val="00F00512"/>
    <w:rsid w:val="00F23428"/>
    <w:rsid w:val="00F25CF0"/>
    <w:rsid w:val="00F35AF1"/>
    <w:rsid w:val="00F40708"/>
    <w:rsid w:val="00F5102C"/>
    <w:rsid w:val="00F871D6"/>
    <w:rsid w:val="00FB17BA"/>
    <w:rsid w:val="00FE6392"/>
    <w:rsid w:val="01301DEA"/>
    <w:rsid w:val="017A7B89"/>
    <w:rsid w:val="017F73D0"/>
    <w:rsid w:val="01E67805"/>
    <w:rsid w:val="01FF4AE3"/>
    <w:rsid w:val="020E7C91"/>
    <w:rsid w:val="02221DBE"/>
    <w:rsid w:val="02317CC5"/>
    <w:rsid w:val="03116217"/>
    <w:rsid w:val="031A1A9E"/>
    <w:rsid w:val="03656360"/>
    <w:rsid w:val="03753E9F"/>
    <w:rsid w:val="03B409C5"/>
    <w:rsid w:val="03C663FB"/>
    <w:rsid w:val="03E5775B"/>
    <w:rsid w:val="044565D8"/>
    <w:rsid w:val="04951932"/>
    <w:rsid w:val="04F67AE4"/>
    <w:rsid w:val="056E4FE4"/>
    <w:rsid w:val="05A328E4"/>
    <w:rsid w:val="05DC2921"/>
    <w:rsid w:val="05FD50DF"/>
    <w:rsid w:val="06622649"/>
    <w:rsid w:val="066E594C"/>
    <w:rsid w:val="06886DB2"/>
    <w:rsid w:val="06BC3D87"/>
    <w:rsid w:val="070956AC"/>
    <w:rsid w:val="07965FF4"/>
    <w:rsid w:val="07D60799"/>
    <w:rsid w:val="07FB6A52"/>
    <w:rsid w:val="083C47D8"/>
    <w:rsid w:val="084F2267"/>
    <w:rsid w:val="087F7991"/>
    <w:rsid w:val="08B83865"/>
    <w:rsid w:val="090D193A"/>
    <w:rsid w:val="097B1DB2"/>
    <w:rsid w:val="09955695"/>
    <w:rsid w:val="09DA541F"/>
    <w:rsid w:val="0A5F35C2"/>
    <w:rsid w:val="0A712043"/>
    <w:rsid w:val="0A721DC6"/>
    <w:rsid w:val="0A992AFE"/>
    <w:rsid w:val="0ACD41F8"/>
    <w:rsid w:val="0B550302"/>
    <w:rsid w:val="0BA4528A"/>
    <w:rsid w:val="0BEE2D2A"/>
    <w:rsid w:val="0BF71B1C"/>
    <w:rsid w:val="0C342130"/>
    <w:rsid w:val="0C6C3F4C"/>
    <w:rsid w:val="0CCB2EAA"/>
    <w:rsid w:val="0D1B465C"/>
    <w:rsid w:val="0D4922CD"/>
    <w:rsid w:val="0D837EDF"/>
    <w:rsid w:val="0ED422FA"/>
    <w:rsid w:val="0F170CD7"/>
    <w:rsid w:val="0FB864B8"/>
    <w:rsid w:val="0FD82D9A"/>
    <w:rsid w:val="10191C52"/>
    <w:rsid w:val="105E3100"/>
    <w:rsid w:val="10765FD0"/>
    <w:rsid w:val="10C60D04"/>
    <w:rsid w:val="10F60C20"/>
    <w:rsid w:val="10FC288D"/>
    <w:rsid w:val="114224C8"/>
    <w:rsid w:val="118E4FE1"/>
    <w:rsid w:val="11C02049"/>
    <w:rsid w:val="11C83717"/>
    <w:rsid w:val="12552446"/>
    <w:rsid w:val="12DA0F80"/>
    <w:rsid w:val="131F4971"/>
    <w:rsid w:val="13530C0D"/>
    <w:rsid w:val="1354715F"/>
    <w:rsid w:val="13AC1380"/>
    <w:rsid w:val="143609AA"/>
    <w:rsid w:val="143A1139"/>
    <w:rsid w:val="147129DE"/>
    <w:rsid w:val="14825285"/>
    <w:rsid w:val="14943AD6"/>
    <w:rsid w:val="14A310DE"/>
    <w:rsid w:val="14A84D8F"/>
    <w:rsid w:val="14D12391"/>
    <w:rsid w:val="15225B05"/>
    <w:rsid w:val="15276FDF"/>
    <w:rsid w:val="154F6897"/>
    <w:rsid w:val="15565E6E"/>
    <w:rsid w:val="15B13C75"/>
    <w:rsid w:val="15BE0E08"/>
    <w:rsid w:val="15D40414"/>
    <w:rsid w:val="160F0089"/>
    <w:rsid w:val="163A4CA5"/>
    <w:rsid w:val="163E7F31"/>
    <w:rsid w:val="16A83002"/>
    <w:rsid w:val="16DD0CFE"/>
    <w:rsid w:val="17164B86"/>
    <w:rsid w:val="17445FCE"/>
    <w:rsid w:val="17C96A84"/>
    <w:rsid w:val="17EA4E04"/>
    <w:rsid w:val="18450057"/>
    <w:rsid w:val="18930C33"/>
    <w:rsid w:val="189C58FB"/>
    <w:rsid w:val="18A35583"/>
    <w:rsid w:val="18AA611F"/>
    <w:rsid w:val="18DA2DF6"/>
    <w:rsid w:val="19424064"/>
    <w:rsid w:val="1970266A"/>
    <w:rsid w:val="19995988"/>
    <w:rsid w:val="19D01756"/>
    <w:rsid w:val="1A223AB7"/>
    <w:rsid w:val="1AAA2F52"/>
    <w:rsid w:val="1B08327E"/>
    <w:rsid w:val="1B25010E"/>
    <w:rsid w:val="1B8B56D6"/>
    <w:rsid w:val="1BC22C2B"/>
    <w:rsid w:val="1C1D014F"/>
    <w:rsid w:val="1C1E5974"/>
    <w:rsid w:val="1C3E2CB0"/>
    <w:rsid w:val="1C8033E2"/>
    <w:rsid w:val="1CDA36CF"/>
    <w:rsid w:val="1CE369EE"/>
    <w:rsid w:val="1D1B13DF"/>
    <w:rsid w:val="1D3740CE"/>
    <w:rsid w:val="1D7665FD"/>
    <w:rsid w:val="1EB046D8"/>
    <w:rsid w:val="1EB1417D"/>
    <w:rsid w:val="1EF338F3"/>
    <w:rsid w:val="1F421591"/>
    <w:rsid w:val="1FBD39CD"/>
    <w:rsid w:val="1FFC6DDF"/>
    <w:rsid w:val="20593979"/>
    <w:rsid w:val="20A13054"/>
    <w:rsid w:val="20A75975"/>
    <w:rsid w:val="215428B6"/>
    <w:rsid w:val="21B36D8D"/>
    <w:rsid w:val="222A141B"/>
    <w:rsid w:val="224D2394"/>
    <w:rsid w:val="224E685B"/>
    <w:rsid w:val="22ED4D8E"/>
    <w:rsid w:val="230672A6"/>
    <w:rsid w:val="237B62F4"/>
    <w:rsid w:val="2449226A"/>
    <w:rsid w:val="254326A8"/>
    <w:rsid w:val="258121F9"/>
    <w:rsid w:val="25E2469A"/>
    <w:rsid w:val="265164E0"/>
    <w:rsid w:val="265757C8"/>
    <w:rsid w:val="26804327"/>
    <w:rsid w:val="26BF5FFB"/>
    <w:rsid w:val="26EB7EE6"/>
    <w:rsid w:val="271205B4"/>
    <w:rsid w:val="27654F2C"/>
    <w:rsid w:val="276A5D5F"/>
    <w:rsid w:val="27746185"/>
    <w:rsid w:val="27BE5565"/>
    <w:rsid w:val="27C26065"/>
    <w:rsid w:val="27F1451E"/>
    <w:rsid w:val="283C3CA6"/>
    <w:rsid w:val="284A792E"/>
    <w:rsid w:val="28A3245A"/>
    <w:rsid w:val="28E24DEC"/>
    <w:rsid w:val="28EE61D3"/>
    <w:rsid w:val="292B338E"/>
    <w:rsid w:val="29750F59"/>
    <w:rsid w:val="29CF4A05"/>
    <w:rsid w:val="29DE5A73"/>
    <w:rsid w:val="29F1494B"/>
    <w:rsid w:val="2A581CAD"/>
    <w:rsid w:val="2A93130F"/>
    <w:rsid w:val="2A9E3261"/>
    <w:rsid w:val="2B496ABD"/>
    <w:rsid w:val="2B937C1C"/>
    <w:rsid w:val="2BB80565"/>
    <w:rsid w:val="2BBF0682"/>
    <w:rsid w:val="2BD8549D"/>
    <w:rsid w:val="2C177FB3"/>
    <w:rsid w:val="2C74148A"/>
    <w:rsid w:val="2CAB4F4A"/>
    <w:rsid w:val="2CDA40F7"/>
    <w:rsid w:val="2D15527F"/>
    <w:rsid w:val="2D7D42E3"/>
    <w:rsid w:val="2DF45BE6"/>
    <w:rsid w:val="2E3413AE"/>
    <w:rsid w:val="2E42088A"/>
    <w:rsid w:val="2E5961F9"/>
    <w:rsid w:val="2E6E1952"/>
    <w:rsid w:val="2E7C6741"/>
    <w:rsid w:val="2ED540BA"/>
    <w:rsid w:val="2F2A56E3"/>
    <w:rsid w:val="2F425E32"/>
    <w:rsid w:val="2F467380"/>
    <w:rsid w:val="2F7E043C"/>
    <w:rsid w:val="2F946AB8"/>
    <w:rsid w:val="2FF1115E"/>
    <w:rsid w:val="2FFD5A47"/>
    <w:rsid w:val="30896515"/>
    <w:rsid w:val="3112291E"/>
    <w:rsid w:val="3119591D"/>
    <w:rsid w:val="323072CF"/>
    <w:rsid w:val="323A792A"/>
    <w:rsid w:val="32C34D74"/>
    <w:rsid w:val="32E26F1D"/>
    <w:rsid w:val="34227C48"/>
    <w:rsid w:val="343D38DC"/>
    <w:rsid w:val="34504F8F"/>
    <w:rsid w:val="3461209A"/>
    <w:rsid w:val="34AE125C"/>
    <w:rsid w:val="35F44365"/>
    <w:rsid w:val="3609363C"/>
    <w:rsid w:val="36194989"/>
    <w:rsid w:val="36D13E4E"/>
    <w:rsid w:val="36EE6C4F"/>
    <w:rsid w:val="37D570E1"/>
    <w:rsid w:val="387E3DA4"/>
    <w:rsid w:val="38DD718E"/>
    <w:rsid w:val="390412F6"/>
    <w:rsid w:val="3923447C"/>
    <w:rsid w:val="3940596E"/>
    <w:rsid w:val="395854A3"/>
    <w:rsid w:val="39895648"/>
    <w:rsid w:val="398A354D"/>
    <w:rsid w:val="3A597464"/>
    <w:rsid w:val="3A673BC6"/>
    <w:rsid w:val="3A971420"/>
    <w:rsid w:val="3A9D12D6"/>
    <w:rsid w:val="3AA67C82"/>
    <w:rsid w:val="3AB72932"/>
    <w:rsid w:val="3AC07723"/>
    <w:rsid w:val="3B162A2D"/>
    <w:rsid w:val="3BE73ABC"/>
    <w:rsid w:val="3CB520D0"/>
    <w:rsid w:val="3CE428EF"/>
    <w:rsid w:val="3D4F12E1"/>
    <w:rsid w:val="3D6D1570"/>
    <w:rsid w:val="3DA7312A"/>
    <w:rsid w:val="3DC446C4"/>
    <w:rsid w:val="3DED2115"/>
    <w:rsid w:val="3E342CFD"/>
    <w:rsid w:val="3F09031E"/>
    <w:rsid w:val="3F5E77F3"/>
    <w:rsid w:val="3FA155DC"/>
    <w:rsid w:val="407A644D"/>
    <w:rsid w:val="41025891"/>
    <w:rsid w:val="41693BAB"/>
    <w:rsid w:val="41F12311"/>
    <w:rsid w:val="425058C1"/>
    <w:rsid w:val="42685834"/>
    <w:rsid w:val="429C1193"/>
    <w:rsid w:val="42DC160C"/>
    <w:rsid w:val="43A22D29"/>
    <w:rsid w:val="43AF5D30"/>
    <w:rsid w:val="43DD16C6"/>
    <w:rsid w:val="44604D13"/>
    <w:rsid w:val="45153761"/>
    <w:rsid w:val="4528683E"/>
    <w:rsid w:val="45653E6F"/>
    <w:rsid w:val="458D5333"/>
    <w:rsid w:val="459874BB"/>
    <w:rsid w:val="46045684"/>
    <w:rsid w:val="4695044C"/>
    <w:rsid w:val="46952FF8"/>
    <w:rsid w:val="46A04C9D"/>
    <w:rsid w:val="47A94338"/>
    <w:rsid w:val="47C416C2"/>
    <w:rsid w:val="4840397A"/>
    <w:rsid w:val="49FB3CB0"/>
    <w:rsid w:val="4A342654"/>
    <w:rsid w:val="4A3E71C3"/>
    <w:rsid w:val="4A88368F"/>
    <w:rsid w:val="4A986AD3"/>
    <w:rsid w:val="4AC044A4"/>
    <w:rsid w:val="4B3624C0"/>
    <w:rsid w:val="4B5F23DC"/>
    <w:rsid w:val="4B6B24F4"/>
    <w:rsid w:val="4B715762"/>
    <w:rsid w:val="4B94031E"/>
    <w:rsid w:val="4C812961"/>
    <w:rsid w:val="4C9D0ED5"/>
    <w:rsid w:val="4CC26CA9"/>
    <w:rsid w:val="4D486972"/>
    <w:rsid w:val="4D6364D0"/>
    <w:rsid w:val="4D6606D3"/>
    <w:rsid w:val="4D675CFD"/>
    <w:rsid w:val="4D6B6F61"/>
    <w:rsid w:val="4D711853"/>
    <w:rsid w:val="4DCD47F3"/>
    <w:rsid w:val="4E495AD0"/>
    <w:rsid w:val="4E5B16D6"/>
    <w:rsid w:val="4EA8237F"/>
    <w:rsid w:val="4F56612D"/>
    <w:rsid w:val="4F752217"/>
    <w:rsid w:val="4F773E92"/>
    <w:rsid w:val="4F910CEF"/>
    <w:rsid w:val="509C18B0"/>
    <w:rsid w:val="50BA6BDA"/>
    <w:rsid w:val="50E1483B"/>
    <w:rsid w:val="51002879"/>
    <w:rsid w:val="51A32A09"/>
    <w:rsid w:val="51B41ED0"/>
    <w:rsid w:val="528416DE"/>
    <w:rsid w:val="52E9402F"/>
    <w:rsid w:val="532F3D09"/>
    <w:rsid w:val="536F78B7"/>
    <w:rsid w:val="53711C37"/>
    <w:rsid w:val="53723DA1"/>
    <w:rsid w:val="53EF7C7B"/>
    <w:rsid w:val="544649BA"/>
    <w:rsid w:val="54640044"/>
    <w:rsid w:val="54F826D3"/>
    <w:rsid w:val="55615505"/>
    <w:rsid w:val="55833AD3"/>
    <w:rsid w:val="55A85824"/>
    <w:rsid w:val="55FB51C9"/>
    <w:rsid w:val="560731C3"/>
    <w:rsid w:val="56495559"/>
    <w:rsid w:val="56572EB4"/>
    <w:rsid w:val="56827546"/>
    <w:rsid w:val="56BC5E3D"/>
    <w:rsid w:val="56DA4CF7"/>
    <w:rsid w:val="56FF7328"/>
    <w:rsid w:val="577C6AA4"/>
    <w:rsid w:val="58497335"/>
    <w:rsid w:val="591766DB"/>
    <w:rsid w:val="5921348A"/>
    <w:rsid w:val="5933645E"/>
    <w:rsid w:val="59B35E76"/>
    <w:rsid w:val="59DD5EEC"/>
    <w:rsid w:val="59FC1C31"/>
    <w:rsid w:val="5A007305"/>
    <w:rsid w:val="5A404787"/>
    <w:rsid w:val="5A4A44F0"/>
    <w:rsid w:val="5A6719FA"/>
    <w:rsid w:val="5A9F133C"/>
    <w:rsid w:val="5AC56616"/>
    <w:rsid w:val="5AE01DC5"/>
    <w:rsid w:val="5AF57D21"/>
    <w:rsid w:val="5B4F6B30"/>
    <w:rsid w:val="5C5F192D"/>
    <w:rsid w:val="5D2A2213"/>
    <w:rsid w:val="5DAD5300"/>
    <w:rsid w:val="5DCA32DF"/>
    <w:rsid w:val="5E1E6A8C"/>
    <w:rsid w:val="5E475978"/>
    <w:rsid w:val="5E4C77D9"/>
    <w:rsid w:val="5E84205E"/>
    <w:rsid w:val="5E911DCB"/>
    <w:rsid w:val="5E940943"/>
    <w:rsid w:val="5EE130A4"/>
    <w:rsid w:val="5EE7579C"/>
    <w:rsid w:val="5EF379F4"/>
    <w:rsid w:val="5F0459FF"/>
    <w:rsid w:val="5F3778CE"/>
    <w:rsid w:val="5F4B1C6C"/>
    <w:rsid w:val="5F681198"/>
    <w:rsid w:val="600469F3"/>
    <w:rsid w:val="606F4896"/>
    <w:rsid w:val="606F6D66"/>
    <w:rsid w:val="60A97AC4"/>
    <w:rsid w:val="60C92CD8"/>
    <w:rsid w:val="61373034"/>
    <w:rsid w:val="615A5351"/>
    <w:rsid w:val="61754F52"/>
    <w:rsid w:val="61C94107"/>
    <w:rsid w:val="6248292F"/>
    <w:rsid w:val="62AE13F5"/>
    <w:rsid w:val="62E9171E"/>
    <w:rsid w:val="62EF0EB3"/>
    <w:rsid w:val="63085ED4"/>
    <w:rsid w:val="63E43741"/>
    <w:rsid w:val="64045F73"/>
    <w:rsid w:val="64830030"/>
    <w:rsid w:val="649A0B64"/>
    <w:rsid w:val="65105F0B"/>
    <w:rsid w:val="653E3516"/>
    <w:rsid w:val="65FB39E4"/>
    <w:rsid w:val="66222634"/>
    <w:rsid w:val="66E57C90"/>
    <w:rsid w:val="66FD6685"/>
    <w:rsid w:val="6748074C"/>
    <w:rsid w:val="67BD5773"/>
    <w:rsid w:val="67D07647"/>
    <w:rsid w:val="68285F41"/>
    <w:rsid w:val="68320774"/>
    <w:rsid w:val="68477E50"/>
    <w:rsid w:val="685375CB"/>
    <w:rsid w:val="687F11F8"/>
    <w:rsid w:val="68B0519F"/>
    <w:rsid w:val="68D809B1"/>
    <w:rsid w:val="68F23782"/>
    <w:rsid w:val="691130D2"/>
    <w:rsid w:val="693F52C7"/>
    <w:rsid w:val="69953F93"/>
    <w:rsid w:val="69BA238A"/>
    <w:rsid w:val="6A662AF3"/>
    <w:rsid w:val="6AC6091F"/>
    <w:rsid w:val="6B0678AF"/>
    <w:rsid w:val="6B0933F9"/>
    <w:rsid w:val="6B135860"/>
    <w:rsid w:val="6B3F2C9E"/>
    <w:rsid w:val="6BC94DBD"/>
    <w:rsid w:val="6BFD26C7"/>
    <w:rsid w:val="6C0833FD"/>
    <w:rsid w:val="6C5E4F2D"/>
    <w:rsid w:val="6C7637DD"/>
    <w:rsid w:val="6C7F3702"/>
    <w:rsid w:val="6C831803"/>
    <w:rsid w:val="6CC8394B"/>
    <w:rsid w:val="6CD15B9B"/>
    <w:rsid w:val="6D2B73D7"/>
    <w:rsid w:val="6D3E7CEF"/>
    <w:rsid w:val="6D515DBA"/>
    <w:rsid w:val="6D6D02CB"/>
    <w:rsid w:val="6E7E728A"/>
    <w:rsid w:val="6EB144C0"/>
    <w:rsid w:val="6F2B5CF5"/>
    <w:rsid w:val="6F423510"/>
    <w:rsid w:val="6F4D43B1"/>
    <w:rsid w:val="6FF62F10"/>
    <w:rsid w:val="701B4938"/>
    <w:rsid w:val="70764C9D"/>
    <w:rsid w:val="7170135F"/>
    <w:rsid w:val="72474DAE"/>
    <w:rsid w:val="72581FF0"/>
    <w:rsid w:val="73476A2C"/>
    <w:rsid w:val="735E00C4"/>
    <w:rsid w:val="737318D2"/>
    <w:rsid w:val="73A07B19"/>
    <w:rsid w:val="73B85E4F"/>
    <w:rsid w:val="73BE0559"/>
    <w:rsid w:val="74024C95"/>
    <w:rsid w:val="74BC0155"/>
    <w:rsid w:val="74CD173A"/>
    <w:rsid w:val="74EB030B"/>
    <w:rsid w:val="752A41AA"/>
    <w:rsid w:val="753530A8"/>
    <w:rsid w:val="761B5349"/>
    <w:rsid w:val="76224FC5"/>
    <w:rsid w:val="76284E78"/>
    <w:rsid w:val="765D36ED"/>
    <w:rsid w:val="768C2710"/>
    <w:rsid w:val="774F0217"/>
    <w:rsid w:val="774F5FA1"/>
    <w:rsid w:val="778615CB"/>
    <w:rsid w:val="77BC67BA"/>
    <w:rsid w:val="77BE6A80"/>
    <w:rsid w:val="77EE4D09"/>
    <w:rsid w:val="77F231BE"/>
    <w:rsid w:val="77F51A0C"/>
    <w:rsid w:val="78E659F6"/>
    <w:rsid w:val="79086460"/>
    <w:rsid w:val="79160C47"/>
    <w:rsid w:val="79327A92"/>
    <w:rsid w:val="79523032"/>
    <w:rsid w:val="797816BB"/>
    <w:rsid w:val="79CE020F"/>
    <w:rsid w:val="79F417E4"/>
    <w:rsid w:val="7A6065A9"/>
    <w:rsid w:val="7AA17DB0"/>
    <w:rsid w:val="7AB67C2E"/>
    <w:rsid w:val="7ACF5A54"/>
    <w:rsid w:val="7ADD2D20"/>
    <w:rsid w:val="7B3A352F"/>
    <w:rsid w:val="7B3D01CB"/>
    <w:rsid w:val="7B7443F3"/>
    <w:rsid w:val="7BAE753A"/>
    <w:rsid w:val="7BBD5A41"/>
    <w:rsid w:val="7BD73846"/>
    <w:rsid w:val="7C82206B"/>
    <w:rsid w:val="7C911CD5"/>
    <w:rsid w:val="7C9318F7"/>
    <w:rsid w:val="7C9F3D05"/>
    <w:rsid w:val="7D253197"/>
    <w:rsid w:val="7DE52C3E"/>
    <w:rsid w:val="7E6E6FE8"/>
    <w:rsid w:val="7EA77C51"/>
    <w:rsid w:val="7EAB1BAE"/>
    <w:rsid w:val="7F165252"/>
    <w:rsid w:val="7F17155B"/>
    <w:rsid w:val="7F6B3B16"/>
    <w:rsid w:val="7F886346"/>
    <w:rsid w:val="7F8E38FC"/>
    <w:rsid w:val="7FE5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360" w:lineRule="auto"/>
      <w:outlineLvl w:val="0"/>
    </w:pPr>
    <w:rPr>
      <w:rFonts w:asciiTheme="minorAscii" w:hAnsiTheme="minorAscii"/>
      <w:b/>
      <w:bCs/>
      <w:kern w:val="44"/>
      <w:sz w:val="28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line="360" w:lineRule="auto"/>
      <w:outlineLvl w:val="1"/>
    </w:pPr>
    <w:rPr>
      <w:rFonts w:asciiTheme="majorAscii" w:hAnsiTheme="majorAscii" w:eastAsiaTheme="majorEastAsia" w:cstheme="majorBidi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360" w:lineRule="auto"/>
      <w:outlineLvl w:val="2"/>
    </w:pPr>
    <w:rPr>
      <w:rFonts w:asciiTheme="minorAscii" w:hAnsiTheme="minorAscii"/>
      <w:b/>
      <w:bCs/>
      <w:sz w:val="24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line="360" w:lineRule="auto"/>
      <w:outlineLvl w:val="3"/>
    </w:pPr>
    <w:rPr>
      <w:rFonts w:asciiTheme="majorAscii" w:hAnsiTheme="majorAscii" w:eastAsiaTheme="majorEastAsia" w:cstheme="majorBidi"/>
      <w:b/>
      <w:bCs/>
      <w:sz w:val="24"/>
      <w:szCs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unhideWhenUsed/>
    <w:qFormat/>
    <w:uiPriority w:val="39"/>
    <w:pPr>
      <w:tabs>
        <w:tab w:val="left" w:pos="1680"/>
        <w:tab w:val="right" w:leader="dot" w:pos="8296"/>
      </w:tabs>
      <w:spacing w:line="440" w:lineRule="exact"/>
      <w:ind w:left="840" w:leftChars="400"/>
    </w:pPr>
  </w:style>
  <w:style w:type="paragraph" w:styleId="12">
    <w:name w:val="footer"/>
    <w:basedOn w:val="1"/>
    <w:link w:val="4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table" w:styleId="17">
    <w:name w:val="Table Grid"/>
    <w:basedOn w:val="1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表格内容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">
    <w:name w:val="表格内容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">
    <w:name w:val="表格内容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">
    <w:name w:val="表格内容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">
    <w:name w:val="表格内容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">
    <w:name w:val="表格内容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">
    <w:name w:val="表格内容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">
    <w:name w:val="表格内容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">
    <w:name w:val="表格内容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">
    <w:name w:val="表格内容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">
    <w:name w:val="表格内容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">
    <w:name w:val="表格内容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">
    <w:name w:val="表格内容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">
    <w:name w:val="表格内容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">
    <w:name w:val="表格内容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">
    <w:name w:val="表格内容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">
    <w:name w:val="表格内容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">
    <w:name w:val="表格内容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">
    <w:name w:val="表格内容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">
    <w:name w:val="表格内容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">
    <w:name w:val="表格内容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">
    <w:name w:val="表格内容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">
    <w:name w:val="表格内容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">
    <w:name w:val="表格内容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4">
    <w:name w:val="表格内容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5">
    <w:name w:val="表格内容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6">
    <w:name w:val="表格内容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7">
    <w:name w:val="表格内容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8">
    <w:name w:val="表格内容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9">
    <w:name w:val="表格内容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0">
    <w:name w:val="表格内容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1">
    <w:name w:val="表格内容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2">
    <w:name w:val="表格内容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3">
    <w:name w:val="表格内容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4">
    <w:name w:val="表格内容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5">
    <w:name w:val="表格内容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6">
    <w:name w:val="表格内容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7">
    <w:name w:val="表格内容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8">
    <w:name w:val="表格内容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9">
    <w:name w:val="表格内容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0">
    <w:name w:val="表格内容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1">
    <w:name w:val="表格内容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2">
    <w:name w:val="表格内容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3">
    <w:name w:val="表格内容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4">
    <w:name w:val="表格内容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5">
    <w:name w:val="表格内容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6">
    <w:name w:val="表格内容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7">
    <w:name w:val="表格内容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8">
    <w:name w:val="表格内容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9">
    <w:name w:val="表格内容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0">
    <w:name w:val="表格内容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1">
    <w:name w:val="表格内容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2">
    <w:name w:val="表格内容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3">
    <w:name w:val="表格内容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4">
    <w:name w:val="表格内容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5">
    <w:name w:val="表格内容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6">
    <w:name w:val="表格内容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7">
    <w:name w:val="表格内容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8">
    <w:name w:val="表格内容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9">
    <w:name w:val="表格内容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0">
    <w:name w:val="表格内容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1">
    <w:name w:val="表格内容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2">
    <w:name w:val="表格内容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3">
    <w:name w:val="表格内容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4">
    <w:name w:val="表格内容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5">
    <w:name w:val="表格内容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6">
    <w:name w:val="表格内容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7">
    <w:name w:val="表格内容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8">
    <w:name w:val="表格内容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9">
    <w:name w:val="表格内容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0">
    <w:name w:val="表格内容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1">
    <w:name w:val="表格内容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2">
    <w:name w:val="表格内容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3">
    <w:name w:val="表格内容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4">
    <w:name w:val="表格内容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5">
    <w:name w:val="表格内容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6">
    <w:name w:val="表格内容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7">
    <w:name w:val="表格内容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8">
    <w:name w:val="表格内容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9">
    <w:name w:val="表格内容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0">
    <w:name w:val="表格内容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1">
    <w:name w:val="表格内容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2">
    <w:name w:val="表格内容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3">
    <w:name w:val="表格内容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4">
    <w:name w:val="表格内容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5">
    <w:name w:val="表格内容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6">
    <w:name w:val="表格内容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7">
    <w:name w:val="表格内容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8">
    <w:name w:val="表格内容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9">
    <w:name w:val="表格内容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0">
    <w:name w:val="表格内容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1">
    <w:name w:val="表格内容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2">
    <w:name w:val="表格内容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3">
    <w:name w:val="表格内容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4">
    <w:name w:val="表格内容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5">
    <w:name w:val="表格内容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6">
    <w:name w:val="表格内容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7">
    <w:name w:val="表格内容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8">
    <w:name w:val="表格内容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9">
    <w:name w:val="表格内容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0">
    <w:name w:val="表格内容1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1">
    <w:name w:val="表格内容1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2">
    <w:name w:val="表格内容1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3">
    <w:name w:val="表格内容1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4">
    <w:name w:val="表格内容1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5">
    <w:name w:val="表格内容1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6">
    <w:name w:val="表格内容1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7">
    <w:name w:val="表格内容1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8">
    <w:name w:val="表格内容1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9">
    <w:name w:val="表格内容1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0">
    <w:name w:val="表格内容1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1">
    <w:name w:val="表格内容1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2">
    <w:name w:val="表格内容1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3">
    <w:name w:val="表格内容1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4">
    <w:name w:val="表格内容1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5">
    <w:name w:val="表格内容1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6">
    <w:name w:val="表格内容1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7">
    <w:name w:val="表格内容1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8">
    <w:name w:val="表格内容1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9">
    <w:name w:val="表格内容1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0">
    <w:name w:val="表格内容1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1">
    <w:name w:val="表格内容1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2">
    <w:name w:val="表格内容1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3">
    <w:name w:val="表格内容1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4">
    <w:name w:val="表格内容1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5">
    <w:name w:val="表格内容1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6">
    <w:name w:val="表格内容1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7">
    <w:name w:val="表格内容1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8">
    <w:name w:val="表格内容1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9">
    <w:name w:val="表格内容1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0">
    <w:name w:val="表格内容1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1">
    <w:name w:val="表格内容1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2">
    <w:name w:val="表格内容1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3">
    <w:name w:val="表格内容1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4">
    <w:name w:val="表格内容1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5">
    <w:name w:val="表格内容1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6">
    <w:name w:val="表格内容1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7">
    <w:name w:val="表格内容1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8">
    <w:name w:val="表格内容1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9">
    <w:name w:val="表格内容1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0">
    <w:name w:val="表格内容1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1">
    <w:name w:val="表格内容1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2">
    <w:name w:val="表格内容1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3">
    <w:name w:val="表格内容1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4">
    <w:name w:val="表格内容1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5">
    <w:name w:val="表格内容1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6">
    <w:name w:val="表格内容1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7">
    <w:name w:val="表格内容1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8">
    <w:name w:val="表格内容1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9">
    <w:name w:val="表格内容1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0">
    <w:name w:val="表格内容1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1">
    <w:name w:val="表格内容1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2">
    <w:name w:val="表格内容1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3">
    <w:name w:val="表格内容1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4">
    <w:name w:val="表格内容1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5">
    <w:name w:val="表格内容1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6">
    <w:name w:val="表格内容1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7">
    <w:name w:val="表格内容1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8">
    <w:name w:val="表格内容1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9">
    <w:name w:val="表格内容1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0">
    <w:name w:val="表格内容1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1">
    <w:name w:val="表格内容1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2">
    <w:name w:val="表格内容1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3">
    <w:name w:val="表格内容1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4">
    <w:name w:val="表格内容1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5">
    <w:name w:val="表格内容1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6">
    <w:name w:val="表格内容1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7">
    <w:name w:val="表格内容1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8">
    <w:name w:val="表格内容1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9">
    <w:name w:val="表格内容1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0">
    <w:name w:val="表格内容1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1">
    <w:name w:val="表格内容1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2">
    <w:name w:val="表格内容1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3">
    <w:name w:val="表格内容1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4">
    <w:name w:val="表格内容1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5">
    <w:name w:val="表格内容1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6">
    <w:name w:val="表格内容1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7">
    <w:name w:val="表格内容1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8">
    <w:name w:val="表格内容1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9">
    <w:name w:val="表格内容1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0">
    <w:name w:val="表格内容1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1">
    <w:name w:val="表格内容1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2">
    <w:name w:val="表格内容1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3">
    <w:name w:val="表格内容1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4">
    <w:name w:val="表格内容1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5">
    <w:name w:val="表格内容1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6">
    <w:name w:val="表格内容1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7">
    <w:name w:val="表格内容1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8">
    <w:name w:val="表格内容1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9">
    <w:name w:val="表格内容1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0">
    <w:name w:val="表格内容1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1">
    <w:name w:val="表格内容1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2">
    <w:name w:val="表格内容1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3">
    <w:name w:val="表格内容1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4">
    <w:name w:val="表格内容1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5">
    <w:name w:val="表格内容1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6">
    <w:name w:val="表格内容1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7">
    <w:name w:val="表格内容1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8">
    <w:name w:val="表格内容1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9">
    <w:name w:val="表格内容1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0">
    <w:name w:val="表格内容2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1">
    <w:name w:val="表格内容2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2">
    <w:name w:val="表格内容2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3">
    <w:name w:val="表格内容2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4">
    <w:name w:val="表格内容2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5">
    <w:name w:val="表格内容2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6">
    <w:name w:val="表格内容2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7">
    <w:name w:val="表格内容2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8">
    <w:name w:val="表格内容2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9">
    <w:name w:val="表格内容2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0">
    <w:name w:val="表格内容2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1">
    <w:name w:val="表格内容2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2">
    <w:name w:val="表格内容2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3">
    <w:name w:val="表格内容2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4">
    <w:name w:val="表格内容2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5">
    <w:name w:val="表格内容2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6">
    <w:name w:val="表格内容2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7">
    <w:name w:val="表格内容2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8">
    <w:name w:val="表格内容2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9">
    <w:name w:val="表格内容2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0">
    <w:name w:val="表格内容2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1">
    <w:name w:val="表格内容2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2">
    <w:name w:val="表格内容2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3">
    <w:name w:val="表格内容2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4">
    <w:name w:val="表格内容2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5">
    <w:name w:val="表格内容2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6">
    <w:name w:val="表格内容2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7">
    <w:name w:val="表格内容2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8">
    <w:name w:val="表格内容2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9">
    <w:name w:val="表格内容2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0">
    <w:name w:val="表格内容2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1">
    <w:name w:val="表格内容2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2">
    <w:name w:val="表格内容2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3">
    <w:name w:val="表格内容2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4">
    <w:name w:val="表格内容2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5">
    <w:name w:val="表格内容2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6">
    <w:name w:val="表格内容2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7">
    <w:name w:val="表格内容2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8">
    <w:name w:val="表格内容2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9">
    <w:name w:val="表格内容2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0">
    <w:name w:val="表格内容2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1">
    <w:name w:val="表格内容2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2">
    <w:name w:val="表格内容2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3">
    <w:name w:val="表格内容2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4">
    <w:name w:val="表格内容2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5">
    <w:name w:val="表格内容2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6">
    <w:name w:val="表格内容2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7">
    <w:name w:val="表格内容2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8">
    <w:name w:val="表格内容2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9">
    <w:name w:val="表格内容2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0">
    <w:name w:val="表格内容2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1">
    <w:name w:val="表格内容2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2">
    <w:name w:val="表格内容2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3">
    <w:name w:val="表格内容2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4">
    <w:name w:val="表格内容2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5">
    <w:name w:val="表格内容2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6">
    <w:name w:val="表格内容2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7">
    <w:name w:val="表格内容2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8">
    <w:name w:val="表格内容2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9">
    <w:name w:val="表格内容2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0">
    <w:name w:val="表格内容2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1">
    <w:name w:val="表格内容2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2">
    <w:name w:val="表格内容2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3">
    <w:name w:val="表格内容2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4">
    <w:name w:val="表格内容2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5">
    <w:name w:val="表格内容2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6">
    <w:name w:val="表格内容2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7">
    <w:name w:val="表格内容2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8">
    <w:name w:val="表格内容2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9">
    <w:name w:val="表格内容2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0">
    <w:name w:val="表格内容2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1">
    <w:name w:val="表格内容2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2">
    <w:name w:val="表格内容2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3">
    <w:name w:val="表格内容2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4">
    <w:name w:val="表格内容2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5">
    <w:name w:val="表格内容2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6">
    <w:name w:val="表格内容2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7">
    <w:name w:val="表格内容2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8">
    <w:name w:val="表格内容2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9">
    <w:name w:val="表格内容2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0">
    <w:name w:val="表格内容2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1">
    <w:name w:val="表格内容2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2">
    <w:name w:val="表格内容2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3">
    <w:name w:val="表格内容2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4">
    <w:name w:val="表格内容2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5">
    <w:name w:val="表格内容2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6">
    <w:name w:val="表格内容2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7">
    <w:name w:val="表格内容2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8">
    <w:name w:val="表格内容2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9">
    <w:name w:val="表格内容2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0">
    <w:name w:val="表格内容2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1">
    <w:name w:val="表格内容2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2">
    <w:name w:val="表格内容2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3">
    <w:name w:val="表格内容2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4">
    <w:name w:val="表格内容2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5">
    <w:name w:val="表格内容2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6">
    <w:name w:val="表格内容2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7">
    <w:name w:val="表格内容2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8">
    <w:name w:val="表格内容2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9">
    <w:name w:val="表格内容2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0">
    <w:name w:val="表格内容3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1">
    <w:name w:val="表格内容3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2">
    <w:name w:val="表格内容3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3">
    <w:name w:val="表格内容3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4">
    <w:name w:val="表格内容3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5">
    <w:name w:val="表格内容3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6">
    <w:name w:val="表格内容3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7">
    <w:name w:val="表格内容3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8">
    <w:name w:val="表格内容3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9">
    <w:name w:val="表格内容3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0">
    <w:name w:val="表格内容3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1">
    <w:name w:val="表格内容3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2">
    <w:name w:val="表格内容3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3">
    <w:name w:val="表格内容3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4">
    <w:name w:val="表格内容3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5">
    <w:name w:val="表格内容3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6">
    <w:name w:val="表格内容3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7">
    <w:name w:val="表格内容3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8">
    <w:name w:val="表格内容3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9">
    <w:name w:val="表格内容3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0">
    <w:name w:val="表格内容3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1">
    <w:name w:val="表格内容3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2">
    <w:name w:val="表格内容3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3">
    <w:name w:val="表格内容3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4">
    <w:name w:val="表格内容3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5">
    <w:name w:val="表格内容3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6">
    <w:name w:val="表格内容3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7">
    <w:name w:val="表格内容3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8">
    <w:name w:val="表格内容3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9">
    <w:name w:val="表格内容3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0">
    <w:name w:val="表格内容3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1">
    <w:name w:val="表格内容3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2">
    <w:name w:val="表格内容3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3">
    <w:name w:val="表格内容3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4">
    <w:name w:val="表格内容3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5">
    <w:name w:val="表格内容3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6">
    <w:name w:val="表格内容3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7">
    <w:name w:val="表格内容3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8">
    <w:name w:val="表格内容3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9">
    <w:name w:val="表格内容3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0">
    <w:name w:val="表格内容3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1">
    <w:name w:val="表格内容3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2">
    <w:name w:val="表格内容3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3">
    <w:name w:val="表格内容3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4">
    <w:name w:val="表格内容3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5">
    <w:name w:val="表格内容3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6">
    <w:name w:val="表格内容3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7">
    <w:name w:val="表格内容3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8">
    <w:name w:val="表格内容3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9">
    <w:name w:val="表格内容3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0">
    <w:name w:val="表格内容3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1">
    <w:name w:val="表格内容3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2">
    <w:name w:val="表格内容3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3">
    <w:name w:val="表格内容3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4">
    <w:name w:val="表格内容3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5">
    <w:name w:val="表格内容3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6">
    <w:name w:val="表格内容3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7">
    <w:name w:val="表格内容3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8">
    <w:name w:val="表格内容3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9">
    <w:name w:val="表格内容3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0">
    <w:name w:val="表格内容3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1">
    <w:name w:val="表格内容3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styleId="382">
    <w:name w:val="List Paragraph"/>
    <w:basedOn w:val="1"/>
    <w:qFormat/>
    <w:uiPriority w:val="34"/>
    <w:pPr>
      <w:ind w:firstLine="420" w:firstLineChars="200"/>
    </w:pPr>
  </w:style>
  <w:style w:type="paragraph" w:customStyle="1" w:styleId="383">
    <w:name w:val="表格内容3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4">
    <w:name w:val="表格内容3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5">
    <w:name w:val="表格内容3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6">
    <w:name w:val="表格内容3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7">
    <w:name w:val="表格内容3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8">
    <w:name w:val="表格内容3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9">
    <w:name w:val="表格内容3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0">
    <w:name w:val="表格内容3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1">
    <w:name w:val="表格内容3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2">
    <w:name w:val="表格内容3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3">
    <w:name w:val="表格内容3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4">
    <w:name w:val="表格内容3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5">
    <w:name w:val="表格内容3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6">
    <w:name w:val="表格内容3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7">
    <w:name w:val="表格内容3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8">
    <w:name w:val="表格内容3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9">
    <w:name w:val="表格内容3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0">
    <w:name w:val="表格内容3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1">
    <w:name w:val="表格内容3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2">
    <w:name w:val="表格内容3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3">
    <w:name w:val="表格内容3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4">
    <w:name w:val="表格内容3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5">
    <w:name w:val="表格内容3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6">
    <w:name w:val="表格内容3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7">
    <w:name w:val="表格内容3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8">
    <w:name w:val="表格内容3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9">
    <w:name w:val="表格内容3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0">
    <w:name w:val="表格内容3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1">
    <w:name w:val="表格内容3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2">
    <w:name w:val="表格内容3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3">
    <w:name w:val="表格内容3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4">
    <w:name w:val="表格内容3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5">
    <w:name w:val="表格内容3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6">
    <w:name w:val="表格内容3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7">
    <w:name w:val="表格内容3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8">
    <w:name w:val="表格内容3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9">
    <w:name w:val="表格内容3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0">
    <w:name w:val="表格内容3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1">
    <w:name w:val="表格内容4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2">
    <w:name w:val="表格内容4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3">
    <w:name w:val="表格内容4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4">
    <w:name w:val="表格内容4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5">
    <w:name w:val="表格内容4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6">
    <w:name w:val="表格内容4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7">
    <w:name w:val="表格内容4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8">
    <w:name w:val="表格内容4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9">
    <w:name w:val="表格内容4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0">
    <w:name w:val="表格内容4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1">
    <w:name w:val="表格内容4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2">
    <w:name w:val="表格内容4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3">
    <w:name w:val="表格内容4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4">
    <w:name w:val="表格内容4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36">
    <w:name w:val="页眉 Char"/>
    <w:basedOn w:val="18"/>
    <w:link w:val="13"/>
    <w:qFormat/>
    <w:uiPriority w:val="99"/>
    <w:rPr>
      <w:sz w:val="18"/>
      <w:szCs w:val="18"/>
    </w:rPr>
  </w:style>
  <w:style w:type="character" w:customStyle="1" w:styleId="437">
    <w:name w:val="页脚 Char"/>
    <w:basedOn w:val="18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636990-8977-4B52-9498-86F0CA9CDC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1125</Words>
  <Characters>6417</Characters>
  <Lines>53</Lines>
  <Paragraphs>15</Paragraphs>
  <TotalTime>4</TotalTime>
  <ScaleCrop>false</ScaleCrop>
  <LinksUpToDate>false</LinksUpToDate>
  <CharactersWithSpaces>7527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2019-10-17T02:37:00Z</dcterms:created>
  <dc:creator>airdy zhang</dc:creator>
  <cp:lastModifiedBy>KK</cp:lastModifiedBy>
  <dcterms:modified xsi:type="dcterms:W3CDTF">2021-05-24T03:41:44Z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